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39BD3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130DAE3E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0EE24A08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66A41955" w14:textId="77777777" w:rsidTr="00112214">
        <w:trPr>
          <w:trHeight w:val="20"/>
        </w:trPr>
        <w:tc>
          <w:tcPr>
            <w:tcW w:w="567" w:type="dxa"/>
          </w:tcPr>
          <w:p w14:paraId="1A3ECFA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76B0FCBA" w14:textId="77777777" w:rsidR="00C96A29" w:rsidRPr="00FB5384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Найменування організації, установи, підприємства </w:t>
            </w:r>
            <w:r w:rsidR="00A50A8A">
              <w:rPr>
                <w:sz w:val="22"/>
                <w:szCs w:val="22"/>
              </w:rPr>
              <w:t xml:space="preserve"> </w:t>
            </w:r>
            <w:r w:rsidR="00A50A8A" w:rsidRPr="00FB5384">
              <w:rPr>
                <w:b/>
                <w:sz w:val="22"/>
                <w:szCs w:val="22"/>
              </w:rPr>
              <w:t>Комунальний заклад дошкільної освіти «Вишенька» Червоногригорівської селищної ради</w:t>
            </w:r>
          </w:p>
          <w:p w14:paraId="7EDC5B3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__________________________________________________________</w:t>
            </w:r>
          </w:p>
        </w:tc>
      </w:tr>
      <w:tr w:rsidR="00C96A29" w:rsidRPr="00616A7C" w14:paraId="096A1319" w14:textId="77777777" w:rsidTr="00112214">
        <w:trPr>
          <w:trHeight w:val="20"/>
        </w:trPr>
        <w:tc>
          <w:tcPr>
            <w:tcW w:w="567" w:type="dxa"/>
          </w:tcPr>
          <w:p w14:paraId="406CAF5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248E7D4F" w14:textId="488F856F" w:rsidR="00C96A29" w:rsidRPr="00ED69C5" w:rsidRDefault="00C96A29" w:rsidP="00ED6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ED69C5" w:rsidRPr="0019209B">
              <w:rPr>
                <w:sz w:val="22"/>
                <w:szCs w:val="22"/>
                <w:lang w:val="ru-RU"/>
              </w:rPr>
              <w:t xml:space="preserve">: </w:t>
            </w:r>
            <w:r w:rsidR="0019209B">
              <w:rPr>
                <w:b/>
                <w:sz w:val="22"/>
                <w:szCs w:val="22"/>
              </w:rPr>
              <w:t>приміщення закладу дошкільної освіти</w:t>
            </w:r>
          </w:p>
        </w:tc>
      </w:tr>
      <w:tr w:rsidR="00C96A29" w:rsidRPr="00616A7C" w14:paraId="524E99DB" w14:textId="77777777" w:rsidTr="00112214">
        <w:trPr>
          <w:trHeight w:val="20"/>
        </w:trPr>
        <w:tc>
          <w:tcPr>
            <w:tcW w:w="567" w:type="dxa"/>
          </w:tcPr>
          <w:p w14:paraId="456B5FE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434BE9A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2FA91971" w14:textId="77777777" w:rsidTr="00112214">
        <w:trPr>
          <w:trHeight w:val="20"/>
        </w:trPr>
        <w:tc>
          <w:tcPr>
            <w:tcW w:w="567" w:type="dxa"/>
          </w:tcPr>
          <w:p w14:paraId="2C7154A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12C877D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тип населеного пункту (місто/с</w:t>
            </w:r>
            <w:r w:rsidR="00A50A8A">
              <w:rPr>
                <w:sz w:val="22"/>
                <w:szCs w:val="22"/>
              </w:rPr>
              <w:t xml:space="preserve">елище/село) </w:t>
            </w:r>
            <w:r w:rsidR="00A50A8A" w:rsidRPr="00FB5384">
              <w:rPr>
                <w:b/>
                <w:sz w:val="22"/>
                <w:szCs w:val="22"/>
              </w:rPr>
              <w:t>селище</w:t>
            </w:r>
          </w:p>
        </w:tc>
      </w:tr>
      <w:tr w:rsidR="00C96A29" w:rsidRPr="00616A7C" w14:paraId="34AE0C2D" w14:textId="77777777" w:rsidTr="00112214">
        <w:trPr>
          <w:trHeight w:val="20"/>
        </w:trPr>
        <w:tc>
          <w:tcPr>
            <w:tcW w:w="567" w:type="dxa"/>
          </w:tcPr>
          <w:p w14:paraId="0541C45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716119A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FB5384">
              <w:rPr>
                <w:sz w:val="22"/>
                <w:szCs w:val="22"/>
              </w:rPr>
              <w:t xml:space="preserve"> населеного пункту     </w:t>
            </w:r>
            <w:r w:rsidR="00A50A8A" w:rsidRPr="00FB5384">
              <w:rPr>
                <w:b/>
                <w:sz w:val="22"/>
                <w:szCs w:val="22"/>
              </w:rPr>
              <w:t>Червоногригорівка</w:t>
            </w:r>
          </w:p>
        </w:tc>
      </w:tr>
      <w:tr w:rsidR="00C96A29" w:rsidRPr="00616A7C" w14:paraId="5F0AB1FC" w14:textId="77777777" w:rsidTr="00112214">
        <w:trPr>
          <w:trHeight w:val="20"/>
        </w:trPr>
        <w:tc>
          <w:tcPr>
            <w:tcW w:w="567" w:type="dxa"/>
          </w:tcPr>
          <w:p w14:paraId="1415DBE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25A25103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FB5384">
              <w:rPr>
                <w:sz w:val="22"/>
                <w:szCs w:val="22"/>
              </w:rPr>
              <w:t xml:space="preserve">  </w:t>
            </w:r>
            <w:r w:rsidR="00FB5384" w:rsidRPr="00FB5384">
              <w:rPr>
                <w:b/>
                <w:sz w:val="22"/>
                <w:szCs w:val="22"/>
              </w:rPr>
              <w:t xml:space="preserve">вулиця  </w:t>
            </w:r>
            <w:r w:rsidR="00A50A8A" w:rsidRPr="00FB5384">
              <w:rPr>
                <w:b/>
                <w:sz w:val="22"/>
                <w:szCs w:val="22"/>
              </w:rPr>
              <w:t>Молодіжна</w:t>
            </w:r>
          </w:p>
        </w:tc>
      </w:tr>
      <w:tr w:rsidR="00C96A29" w:rsidRPr="00616A7C" w14:paraId="1C3597C2" w14:textId="77777777" w:rsidTr="00112214">
        <w:trPr>
          <w:trHeight w:val="80"/>
        </w:trPr>
        <w:tc>
          <w:tcPr>
            <w:tcW w:w="567" w:type="dxa"/>
          </w:tcPr>
          <w:p w14:paraId="385AFED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15EF6655" w14:textId="77777777" w:rsidR="00C96A29" w:rsidRPr="00616A7C" w:rsidRDefault="00A50A8A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будинку  </w:t>
            </w:r>
            <w:r w:rsidRPr="00FB5384">
              <w:rPr>
                <w:b/>
                <w:sz w:val="22"/>
                <w:szCs w:val="22"/>
              </w:rPr>
              <w:t>2</w:t>
            </w:r>
          </w:p>
        </w:tc>
      </w:tr>
      <w:tr w:rsidR="00C96A29" w:rsidRPr="00616A7C" w14:paraId="74FF001D" w14:textId="77777777" w:rsidTr="00112214">
        <w:trPr>
          <w:trHeight w:val="20"/>
        </w:trPr>
        <w:tc>
          <w:tcPr>
            <w:tcW w:w="567" w:type="dxa"/>
          </w:tcPr>
          <w:p w14:paraId="4F0BAEE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0E412A43" w14:textId="77777777" w:rsidR="00C96A29" w:rsidRPr="00616A7C" w:rsidRDefault="00A50A8A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Кількість поверхів  </w:t>
            </w:r>
            <w:r w:rsidRPr="00FB5384">
              <w:rPr>
                <w:b/>
                <w:sz w:val="22"/>
                <w:szCs w:val="22"/>
              </w:rPr>
              <w:t>1</w:t>
            </w:r>
          </w:p>
        </w:tc>
      </w:tr>
      <w:tr w:rsidR="00C96A29" w:rsidRPr="00616A7C" w14:paraId="097D8350" w14:textId="77777777" w:rsidTr="00112214">
        <w:trPr>
          <w:trHeight w:val="20"/>
        </w:trPr>
        <w:tc>
          <w:tcPr>
            <w:tcW w:w="567" w:type="dxa"/>
          </w:tcPr>
          <w:p w14:paraId="75B4461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1FF15CB0" w14:textId="77777777" w:rsidR="00C96A29" w:rsidRPr="00616A7C" w:rsidRDefault="00C96A29" w:rsidP="00FB53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</w:t>
            </w:r>
            <w:r w:rsidR="00FB5384">
              <w:rPr>
                <w:sz w:val="22"/>
                <w:szCs w:val="22"/>
              </w:rPr>
              <w:t xml:space="preserve">мунальна/приватна)    </w:t>
            </w:r>
            <w:r w:rsidR="00FB5384" w:rsidRPr="00FB5384">
              <w:rPr>
                <w:b/>
                <w:sz w:val="22"/>
                <w:szCs w:val="22"/>
              </w:rPr>
              <w:t>к</w:t>
            </w:r>
            <w:r w:rsidR="00A50A8A" w:rsidRPr="00FB5384">
              <w:rPr>
                <w:b/>
                <w:sz w:val="22"/>
                <w:szCs w:val="22"/>
              </w:rPr>
              <w:t>омунальна</w:t>
            </w:r>
          </w:p>
        </w:tc>
      </w:tr>
      <w:tr w:rsidR="00C96A29" w:rsidRPr="00616A7C" w14:paraId="3909D337" w14:textId="77777777" w:rsidTr="00112214">
        <w:trPr>
          <w:trHeight w:val="20"/>
        </w:trPr>
        <w:tc>
          <w:tcPr>
            <w:tcW w:w="567" w:type="dxa"/>
          </w:tcPr>
          <w:p w14:paraId="2F23507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78D25B69" w14:textId="77777777" w:rsidR="00C96A29" w:rsidRPr="00ED69C5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="00A50A8A">
              <w:rPr>
                <w:sz w:val="22"/>
                <w:szCs w:val="22"/>
                <w:lang w:val="ru-RU"/>
              </w:rPr>
              <w:t xml:space="preserve"> </w:t>
            </w:r>
            <w:r w:rsidR="00A50A8A" w:rsidRPr="00FB5384">
              <w:rPr>
                <w:b/>
                <w:sz w:val="22"/>
                <w:szCs w:val="22"/>
                <w:lang w:val="ru-RU"/>
              </w:rPr>
              <w:t>1961</w:t>
            </w:r>
            <w:proofErr w:type="spellStart"/>
            <w:r w:rsidR="00A50A8A" w:rsidRPr="00FB5384">
              <w:rPr>
                <w:b/>
                <w:sz w:val="22"/>
                <w:szCs w:val="22"/>
                <w:lang w:val="en-US"/>
              </w:rPr>
              <w:t>vishenka</w:t>
            </w:r>
            <w:proofErr w:type="spellEnd"/>
            <w:r w:rsidR="00A50A8A" w:rsidRPr="00FB5384">
              <w:rPr>
                <w:b/>
                <w:sz w:val="22"/>
                <w:szCs w:val="22"/>
                <w:lang w:val="ru-RU"/>
              </w:rPr>
              <w:t>@</w:t>
            </w:r>
            <w:proofErr w:type="spellStart"/>
            <w:r w:rsidR="00A50A8A" w:rsidRPr="00FB5384">
              <w:rPr>
                <w:b/>
                <w:sz w:val="22"/>
                <w:szCs w:val="22"/>
                <w:lang w:val="en-US"/>
              </w:rPr>
              <w:t>ukr</w:t>
            </w:r>
            <w:proofErr w:type="spellEnd"/>
            <w:r w:rsidR="00A50A8A" w:rsidRPr="00FB5384">
              <w:rPr>
                <w:b/>
                <w:sz w:val="22"/>
                <w:szCs w:val="22"/>
              </w:rPr>
              <w:t>.</w:t>
            </w:r>
            <w:r w:rsidR="00A50A8A" w:rsidRPr="00FB5384">
              <w:rPr>
                <w:b/>
                <w:sz w:val="22"/>
                <w:szCs w:val="22"/>
                <w:lang w:val="en-US"/>
              </w:rPr>
              <w:t>net</w:t>
            </w:r>
          </w:p>
        </w:tc>
      </w:tr>
      <w:tr w:rsidR="00C96A29" w:rsidRPr="00616A7C" w14:paraId="3AE3A1A1" w14:textId="77777777" w:rsidTr="00112214">
        <w:trPr>
          <w:trHeight w:val="20"/>
        </w:trPr>
        <w:tc>
          <w:tcPr>
            <w:tcW w:w="567" w:type="dxa"/>
          </w:tcPr>
          <w:p w14:paraId="48F8B96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08EE594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3FC00428" w14:textId="77777777" w:rsidTr="00112214">
        <w:trPr>
          <w:trHeight w:val="20"/>
        </w:trPr>
        <w:tc>
          <w:tcPr>
            <w:tcW w:w="567" w:type="dxa"/>
          </w:tcPr>
          <w:p w14:paraId="49BC771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5E320393" w14:textId="77777777" w:rsidR="00C96A29" w:rsidRPr="00616A7C" w:rsidRDefault="00C96A29" w:rsidP="002E2C3F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Дата проведення оцінки ___</w:t>
            </w:r>
            <w:r w:rsidR="00FB5384" w:rsidRPr="00FB5384">
              <w:rPr>
                <w:b/>
                <w:sz w:val="22"/>
                <w:szCs w:val="22"/>
                <w:u w:val="single"/>
              </w:rPr>
              <w:t>31.07.2025</w:t>
            </w:r>
            <w:r w:rsidRPr="00616A7C">
              <w:rPr>
                <w:sz w:val="22"/>
                <w:szCs w:val="22"/>
              </w:rPr>
              <w:t>__________________________________</w:t>
            </w:r>
          </w:p>
        </w:tc>
      </w:tr>
    </w:tbl>
    <w:p w14:paraId="446C3FA2" w14:textId="77777777" w:rsidR="00E35D79" w:rsidRPr="00616A7C" w:rsidRDefault="00E35D7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315DFEEF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D2002C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5D550E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94AEFB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09DC87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29885C8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9F3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157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9AA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AF5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5A1A0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38A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5454F" w14:textId="77777777" w:rsidR="00C96A29" w:rsidRPr="00616A7C" w:rsidRDefault="00C96A29" w:rsidP="00A50A8A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0EECB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5CEC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F54C5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677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F092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200068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C5AD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D83F9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CB1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52160" w14:textId="77777777" w:rsidR="00C96A29" w:rsidRPr="00616A7C" w:rsidRDefault="00C96A29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3E288E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6B0C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64E8D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C95BD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96699" w14:textId="77777777" w:rsidR="00C96A29" w:rsidRDefault="00E35D79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741EDD8" w14:textId="77777777" w:rsidR="00A50A8A" w:rsidRPr="00616A7C" w:rsidRDefault="00A50A8A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E77BF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4B3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84983E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44229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B0D7D" w14:textId="77777777" w:rsidR="00C96A29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C315224" w14:textId="77777777" w:rsidR="00D96047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0B293833" w14:textId="77777777" w:rsidR="00D96047" w:rsidRPr="00616A7C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5DBF97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BCD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19941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69DDF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34337" w14:textId="77777777" w:rsidR="00D96047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66483B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DE29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142E1F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21D6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FC2DA" w14:textId="77777777" w:rsidR="00D96047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30062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28B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A1D08C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3E26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248B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B60A7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7C2E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57CCA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5E972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994B3" w14:textId="77777777" w:rsidR="00D96047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A9283" w14:textId="77777777" w:rsidR="00C96A29" w:rsidRPr="00616A7C" w:rsidRDefault="007B774F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A36C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2F41B4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18AF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D829F" w14:textId="77777777" w:rsidR="00C96A29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6328D385" w14:textId="77777777" w:rsidR="00D96047" w:rsidRPr="00616A7C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77347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E3C1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E5355A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6E2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D6BA5" w14:textId="77777777" w:rsidR="00C96A29" w:rsidRPr="007B774F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7B774F">
              <w:rPr>
                <w:sz w:val="22"/>
                <w:szCs w:val="22"/>
              </w:rPr>
              <w:t>в</w:t>
            </w:r>
            <w:r w:rsidR="00C96A29" w:rsidRPr="007B774F">
              <w:rPr>
                <w:sz w:val="22"/>
                <w:szCs w:val="22"/>
              </w:rPr>
              <w:t>исока</w:t>
            </w:r>
          </w:p>
          <w:p w14:paraId="48479CE4" w14:textId="77777777" w:rsidR="00D96047" w:rsidRPr="007B774F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AABB8" w14:textId="77777777" w:rsidR="00C96A29" w:rsidRPr="007B774F" w:rsidRDefault="008A3EF7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7B774F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AAA5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51544EC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C99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EB0D3" w14:textId="77777777" w:rsidR="00C96A29" w:rsidRPr="007B774F" w:rsidRDefault="00E35D79" w:rsidP="007B774F">
            <w:pPr>
              <w:spacing w:before="120"/>
              <w:jc w:val="center"/>
              <w:rPr>
                <w:sz w:val="22"/>
                <w:szCs w:val="22"/>
              </w:rPr>
            </w:pPr>
            <w:r w:rsidRPr="007B774F">
              <w:rPr>
                <w:sz w:val="22"/>
                <w:szCs w:val="22"/>
              </w:rPr>
              <w:t>в</w:t>
            </w:r>
            <w:r w:rsidR="00C96A29" w:rsidRPr="007B774F">
              <w:rPr>
                <w:sz w:val="22"/>
                <w:szCs w:val="22"/>
              </w:rPr>
              <w:t>исока</w:t>
            </w:r>
          </w:p>
          <w:p w14:paraId="34324188" w14:textId="77777777" w:rsidR="00D96047" w:rsidRPr="007B774F" w:rsidRDefault="00D96047" w:rsidP="007B774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BEB3" w14:textId="77777777" w:rsidR="00C96A29" w:rsidRPr="007B774F" w:rsidRDefault="00E35D79" w:rsidP="007B774F">
            <w:pPr>
              <w:spacing w:before="120"/>
              <w:jc w:val="center"/>
              <w:rPr>
                <w:sz w:val="22"/>
                <w:szCs w:val="22"/>
              </w:rPr>
            </w:pPr>
            <w:r w:rsidRPr="007B774F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89D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141F5D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D43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6606D" w14:textId="77777777" w:rsidR="00C96A29" w:rsidRPr="007B774F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DFC8E" w14:textId="77777777" w:rsidR="00C96A29" w:rsidRPr="007B774F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7B774F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EADF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5DA05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415C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3D80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30D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CB37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FA7332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D07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0B697" w14:textId="77777777" w:rsidR="00C96A29" w:rsidRPr="00616A7C" w:rsidRDefault="00C96A29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9776E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76FC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8D6E2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32D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40E30" w14:textId="77777777" w:rsidR="00C96A29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3360FF56" w14:textId="77777777" w:rsidR="00D96047" w:rsidRPr="00616A7C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04D0D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8B8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102BE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C6F09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862FD" w14:textId="77777777" w:rsidR="00C96A29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1BCA5C1A" w14:textId="77777777" w:rsidR="00D96047" w:rsidRPr="00616A7C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C2344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1CF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98403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0965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3FFE3" w14:textId="77777777" w:rsidR="00C96A29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6FBC8C77" w14:textId="77777777" w:rsidR="00D96047" w:rsidRPr="00616A7C" w:rsidRDefault="00D96047" w:rsidP="00E35D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5ABBD" w14:textId="77777777" w:rsidR="00C96A29" w:rsidRPr="00616A7C" w:rsidRDefault="00E35D79" w:rsidP="00E35D7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7A4AE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1684EE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4054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A338E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3D88971E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A2D25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B6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2A4DA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754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F8E8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BA737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A981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8504F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2C8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29D20" w14:textId="77777777" w:rsidR="00C96A29" w:rsidRPr="00616A7C" w:rsidRDefault="00C96A29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2CA1D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08D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0B520B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C36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D0E02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48BF4DA6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2BADC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776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A46DC0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5C814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983CE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4CD235D3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7BE23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620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91A883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3B7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89997" w14:textId="77777777" w:rsidR="00C96A29" w:rsidRPr="00616A7C" w:rsidRDefault="000B3362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92A97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3E30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E11A79F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7C685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7CCC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80726" w14:textId="77777777" w:rsidR="00C96A29" w:rsidRPr="00616A7C" w:rsidRDefault="00D27B33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7054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C52A86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82E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7E5C9" w14:textId="77777777" w:rsidR="00C96A29" w:rsidRPr="00616A7C" w:rsidRDefault="000B3362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700CC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6757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E35698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D3D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7F919" w14:textId="77777777" w:rsidR="00C96A29" w:rsidRPr="00616A7C" w:rsidRDefault="000B3362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C0CF3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98A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F02FA7A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DCE9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AB093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5B04C2B4" w14:textId="77777777" w:rsidR="00D96047" w:rsidRPr="00616A7C" w:rsidRDefault="000B3362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E6248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D5DC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6C687A4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FDEB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07F8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A39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66E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697ED8C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E5BC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463F3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51B15A6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A803C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64C3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322157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80D37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</w:t>
            </w:r>
            <w:r w:rsidRPr="00616A7C">
              <w:rPr>
                <w:sz w:val="22"/>
                <w:szCs w:val="22"/>
              </w:rPr>
              <w:lastRenderedPageBreak/>
              <w:t xml:space="preserve">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DAAF7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02D48FB0" w14:textId="77777777" w:rsidR="00D96047" w:rsidRPr="00616A7C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91121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2EF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2E7A39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E70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07B6F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A6C4B14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944EA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588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55F009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A8F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7409B" w14:textId="77777777" w:rsidR="00C96A29" w:rsidRPr="00616A7C" w:rsidRDefault="00C96A29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63B93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831E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6CFF7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5CDD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65AB0" w14:textId="77777777" w:rsidR="00C96A29" w:rsidRPr="00616A7C" w:rsidRDefault="00C96A29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20AE0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7ED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7C944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226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89FB5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9738525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7C497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DC14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6EDB4A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0B585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0675D" w14:textId="77777777" w:rsidR="00C96A29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19A2F87" w14:textId="77777777" w:rsidR="00D96047" w:rsidRPr="00616A7C" w:rsidRDefault="00D96047" w:rsidP="000B336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E3897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6DDE1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2CDE1B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944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8C7A3" w14:textId="77777777" w:rsidR="00C96A29" w:rsidRPr="00616A7C" w:rsidRDefault="000B3362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FA3E4" w14:textId="77777777" w:rsidR="00C96A29" w:rsidRPr="00616A7C" w:rsidRDefault="000B3362" w:rsidP="000B3362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F16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5CC00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9000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2B827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4A3F7F11" w14:textId="77777777" w:rsidR="00D96047" w:rsidRPr="00616A7C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A9349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0FE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F2D41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FFFF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10)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B44B4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44977A0B" w14:textId="77777777" w:rsidR="00D96047" w:rsidRPr="00616A7C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1CADF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07C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EB50D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E78E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1F364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62530E41" w14:textId="77777777" w:rsidR="00D96047" w:rsidRPr="00616A7C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C608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7E26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BEF2C9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4015F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5876E" w14:textId="77777777" w:rsidR="00C96A29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972C9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54B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1D67EC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E784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A8B99F" w14:textId="77777777" w:rsidR="00C96A29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E5D856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9315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C6BC0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A0CD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B02E1" w14:textId="77777777" w:rsidR="00C96A29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8A1E65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CEC6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AEBB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76B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94305" w14:textId="77777777" w:rsidR="00C96A29" w:rsidRPr="00616A7C" w:rsidRDefault="00C96A29" w:rsidP="00D27B3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D0470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C00C9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48DAC7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BE46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67944" w14:textId="77777777" w:rsidR="00C96A29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25071FD7" w14:textId="77777777" w:rsidR="00D96047" w:rsidRPr="00616A7C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D3195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3D6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5E7FF8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F14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6F01A" w14:textId="77777777" w:rsidR="00C96A29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15F534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CAAF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2C7C35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3B00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57E73" w14:textId="77777777" w:rsidR="00C96A29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2690BD33" w14:textId="77777777" w:rsidR="00D96047" w:rsidRPr="00616A7C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70294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EAB2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4E03F6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E9CE0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F53258" w14:textId="77777777" w:rsidR="00C96A29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098FBE9" w14:textId="77777777" w:rsidR="00D96047" w:rsidRPr="00616A7C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4FE59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9E7AF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175C5C6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C4A6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FF76F" w14:textId="77777777" w:rsidR="00C96A29" w:rsidRPr="00616A7C" w:rsidRDefault="00C96A29" w:rsidP="00D27B3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4543C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065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B22E31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2AE1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DA927" w14:textId="77777777" w:rsidR="00C96A29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737F4695" w14:textId="77777777" w:rsidR="00D96047" w:rsidRPr="00616A7C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C3C76C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67FD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FBFD9F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006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2186D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292FF6A6" w14:textId="77777777" w:rsidR="00D96047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60B1C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4EB9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65274B7" w14:textId="77777777" w:rsidTr="007B774F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9190A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85B3" w14:textId="77777777" w:rsidR="00C96A29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0019D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AB8D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74748D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44B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0F364" w14:textId="77777777" w:rsidR="00C96A29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614D9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ABAA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35260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27EC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8773BC" w14:textId="77777777" w:rsidR="00C96A29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6B6FD766" w14:textId="77777777" w:rsidR="00D96047" w:rsidRPr="00616A7C" w:rsidRDefault="00D96047" w:rsidP="00D27B3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757AB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B1F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A8C41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D88DD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8708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200F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C3C0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42BD1B2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7B2DA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4F87C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D9C17" w14:textId="77777777" w:rsidR="00D27B33" w:rsidRPr="00616A7C" w:rsidRDefault="00D27B33" w:rsidP="00A331C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9FF8B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309027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7DF6A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D2D872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67FD4" w14:textId="77777777" w:rsidR="00D27B33" w:rsidRPr="00616A7C" w:rsidRDefault="00D27B33" w:rsidP="00A331CB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2CFF0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1DFFB26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8346B" w14:textId="77777777" w:rsidR="00D27B33" w:rsidRPr="00616A7C" w:rsidRDefault="00D27B33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 разі розташування приміщень, де надаються послуги, або допоміжних приміщень вище першого поверху будівлі 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FC2BD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EACA4" w14:textId="77777777" w:rsidR="00D27B33" w:rsidRPr="00616A7C" w:rsidRDefault="00D27B33" w:rsidP="00A331CB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20391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FC1237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C2C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CB97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387E8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1B74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781FC10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B669F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CD77A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32483" w14:textId="77777777" w:rsidR="00D27B33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C6A1D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1181572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D62B0" w14:textId="77777777" w:rsidR="00D27B33" w:rsidRPr="00616A7C" w:rsidRDefault="00D27B33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процес відкриття/закриття дверей ліфта супроводжується звуковим сигналом і голосовим повідомленням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FF3D8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A93B0" w14:textId="77777777" w:rsidR="00D27B33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0A831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3DCE925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9A75F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6BB6E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15595" w14:textId="77777777" w:rsidR="00D27B33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D212E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229D640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0E906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867B7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FBDD6" w14:textId="77777777" w:rsidR="00D27B33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272DC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27B33" w:rsidRPr="00616A7C" w14:paraId="60DBD54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21411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88F44" w14:textId="77777777" w:rsidR="00D27B33" w:rsidRPr="00616A7C" w:rsidRDefault="00D27B3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CFB4C" w14:textId="77777777" w:rsidR="00D27B33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530D" w14:textId="77777777" w:rsidR="00D27B33" w:rsidRPr="00616A7C" w:rsidRDefault="00D27B33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78FE32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261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8FD1C" w14:textId="77777777" w:rsidR="00C96A29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5C02EB92" w14:textId="77777777" w:rsidR="00D96047" w:rsidRPr="00616A7C" w:rsidRDefault="00D96047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4160E" w14:textId="77777777" w:rsidR="00C96A29" w:rsidRPr="00616A7C" w:rsidRDefault="00D27B33" w:rsidP="00D27B3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F05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160B6A87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="00FB2E2D">
        <w:rPr>
          <w:sz w:val="22"/>
          <w:szCs w:val="22"/>
        </w:rPr>
        <w:t xml:space="preserve">: </w:t>
      </w:r>
      <w:r w:rsidR="00FB2E2D" w:rsidRPr="00D27B33">
        <w:rPr>
          <w:b/>
          <w:sz w:val="22"/>
          <w:szCs w:val="22"/>
          <w:u w:val="single"/>
        </w:rPr>
        <w:t>об</w:t>
      </w:r>
      <w:r w:rsidR="00FB2E2D" w:rsidRPr="00D27B33">
        <w:rPr>
          <w:b/>
          <w:sz w:val="22"/>
          <w:szCs w:val="22"/>
          <w:u w:val="single"/>
          <w:rtl/>
        </w:rPr>
        <w:t>﮽</w:t>
      </w:r>
      <w:proofErr w:type="spellStart"/>
      <w:r w:rsidR="00FB2E2D" w:rsidRPr="00D27B33">
        <w:rPr>
          <w:b/>
          <w:sz w:val="22"/>
          <w:szCs w:val="22"/>
          <w:u w:val="single"/>
        </w:rPr>
        <w:t>єкт</w:t>
      </w:r>
      <w:proofErr w:type="spellEnd"/>
      <w:r w:rsidR="00FB2E2D" w:rsidRPr="00D27B33">
        <w:rPr>
          <w:b/>
          <w:sz w:val="22"/>
          <w:szCs w:val="22"/>
          <w:u w:val="single"/>
        </w:rPr>
        <w:t xml:space="preserve"> є бар</w:t>
      </w:r>
      <w:r w:rsidR="00FB2E2D" w:rsidRPr="00D27B33">
        <w:rPr>
          <w:b/>
          <w:sz w:val="22"/>
          <w:szCs w:val="22"/>
          <w:u w:val="single"/>
          <w:rtl/>
        </w:rPr>
        <w:t>﮽</w:t>
      </w:r>
      <w:proofErr w:type="spellStart"/>
      <w:r w:rsidR="00FB2E2D" w:rsidRPr="00D27B33">
        <w:rPr>
          <w:b/>
          <w:sz w:val="22"/>
          <w:szCs w:val="22"/>
          <w:u w:val="single"/>
        </w:rPr>
        <w:t>єрним</w:t>
      </w:r>
      <w:proofErr w:type="spellEnd"/>
    </w:p>
    <w:p w14:paraId="4F027876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2CD42248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20598BB1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3EEB5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462CA59B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50DB65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FD803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708C982C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A0D2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37E6A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</w:t>
            </w:r>
            <w:r w:rsidRPr="00616A7C">
              <w:rPr>
                <w:sz w:val="22"/>
                <w:szCs w:val="22"/>
              </w:rPr>
              <w:lastRenderedPageBreak/>
              <w:t>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97E80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C8B0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5ED135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7E34EE21" w14:textId="77777777" w:rsidTr="007B774F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6B97B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9A4B" w14:textId="77777777" w:rsidR="00C96A29" w:rsidRPr="00616A7C" w:rsidRDefault="007B774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A1DB0" w14:textId="77777777" w:rsidR="00C96A29" w:rsidRPr="00616A7C" w:rsidRDefault="00FB2E2D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1DF19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8AD15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4C0CA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5A6842FE" w14:textId="77777777" w:rsidTr="007B774F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065CB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DF5AF" w14:textId="77777777" w:rsidR="00C96A29" w:rsidRPr="00616A7C" w:rsidRDefault="007B774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772BB8" w14:textId="77777777" w:rsidR="00C96A29" w:rsidRPr="00616A7C" w:rsidRDefault="00FB2E2D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4EFF5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67A1A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6E0BC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015A6220" w14:textId="77777777" w:rsidTr="007B774F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EFB0A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196A2" w14:textId="77777777" w:rsidR="00C96A29" w:rsidRPr="00616A7C" w:rsidRDefault="007B774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CA32F" w14:textId="77777777" w:rsidR="00C96A29" w:rsidRPr="00616A7C" w:rsidRDefault="00FB2E2D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D3636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5A46F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228F7" w14:textId="77777777" w:rsidR="00C96A29" w:rsidRPr="00616A7C" w:rsidRDefault="00D27B3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037329AA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73EAE99E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20F8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6EA87F47" w14:textId="77777777" w:rsidTr="007B774F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1541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42D1B" w14:textId="77777777" w:rsidR="00B92B6E" w:rsidRPr="00616A7C" w:rsidRDefault="007B774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33F79" w14:textId="77777777" w:rsidR="00B92B6E" w:rsidRPr="00616A7C" w:rsidRDefault="00FB2E2D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6D68E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1D802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89712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6CD87574" w14:textId="77777777" w:rsidTr="007B774F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7BCCE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307F8" w14:textId="77777777" w:rsidR="00B92B6E" w:rsidRPr="00616A7C" w:rsidRDefault="007B774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5ACD4" w14:textId="77777777" w:rsidR="00B92B6E" w:rsidRPr="00616A7C" w:rsidRDefault="00FB2E2D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4250C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E03A5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E92F5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53E1C73E" w14:textId="77777777" w:rsidTr="007B774F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EC2AD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F311B" w14:textId="77777777" w:rsidR="00B92B6E" w:rsidRPr="00616A7C" w:rsidRDefault="007B774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B8C83" w14:textId="77777777" w:rsidR="00B92B6E" w:rsidRPr="00616A7C" w:rsidRDefault="00FB2E2D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A3DCF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1EBDD" w14:textId="77777777" w:rsidR="00B92B6E" w:rsidRPr="00616A7C" w:rsidRDefault="00D27B3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23BEC" w14:textId="77777777" w:rsidR="00B92B6E" w:rsidRPr="00616A7C" w:rsidRDefault="007B774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17A56EC4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4097157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7F2056C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16AD8ECC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1B4BE9A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A5042DA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04217719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12E29BA7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1A7A178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58E5894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78D076EE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ADAD2" w14:textId="77777777" w:rsidR="00E210C9" w:rsidRDefault="00E210C9">
      <w:r>
        <w:separator/>
      </w:r>
    </w:p>
  </w:endnote>
  <w:endnote w:type="continuationSeparator" w:id="0">
    <w:p w14:paraId="7A8B7036" w14:textId="77777777" w:rsidR="00E210C9" w:rsidRDefault="00E2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BCDA3" w14:textId="77777777" w:rsidR="00E210C9" w:rsidRDefault="00E210C9">
      <w:r>
        <w:separator/>
      </w:r>
    </w:p>
  </w:footnote>
  <w:footnote w:type="continuationSeparator" w:id="0">
    <w:p w14:paraId="454C1FD7" w14:textId="77777777" w:rsidR="00E210C9" w:rsidRDefault="00E21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4E30B" w14:textId="77777777" w:rsidR="002E2C3F" w:rsidRDefault="0012556F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6436CC0D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2953" w14:textId="77777777" w:rsidR="002E2C3F" w:rsidRDefault="0012556F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7B774F">
      <w:rPr>
        <w:noProof/>
      </w:rPr>
      <w:t>8</w:t>
    </w:r>
    <w:r>
      <w:fldChar w:fldCharType="end"/>
    </w:r>
  </w:p>
  <w:p w14:paraId="5B425A00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4358593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473768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429306">
    <w:abstractNumId w:val="3"/>
  </w:num>
  <w:num w:numId="4" w16cid:durableId="3242200">
    <w:abstractNumId w:val="4"/>
  </w:num>
  <w:num w:numId="5" w16cid:durableId="1705906852">
    <w:abstractNumId w:val="0"/>
  </w:num>
  <w:num w:numId="6" w16cid:durableId="1677537647">
    <w:abstractNumId w:val="2"/>
  </w:num>
  <w:num w:numId="7" w16cid:durableId="672611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B3362"/>
    <w:rsid w:val="000B3A6A"/>
    <w:rsid w:val="000E65C8"/>
    <w:rsid w:val="0010069D"/>
    <w:rsid w:val="00112214"/>
    <w:rsid w:val="0012556F"/>
    <w:rsid w:val="001300EB"/>
    <w:rsid w:val="00131C7B"/>
    <w:rsid w:val="00155F4E"/>
    <w:rsid w:val="00190793"/>
    <w:rsid w:val="0019209B"/>
    <w:rsid w:val="001A5FC5"/>
    <w:rsid w:val="00210F96"/>
    <w:rsid w:val="00235E70"/>
    <w:rsid w:val="002E2C3F"/>
    <w:rsid w:val="003149CC"/>
    <w:rsid w:val="003434E7"/>
    <w:rsid w:val="003D2AB5"/>
    <w:rsid w:val="004A0210"/>
    <w:rsid w:val="004A44C8"/>
    <w:rsid w:val="004C29EB"/>
    <w:rsid w:val="00525BBB"/>
    <w:rsid w:val="005278AA"/>
    <w:rsid w:val="005905C7"/>
    <w:rsid w:val="005F06C5"/>
    <w:rsid w:val="006060F2"/>
    <w:rsid w:val="00616A7C"/>
    <w:rsid w:val="0063408E"/>
    <w:rsid w:val="00645343"/>
    <w:rsid w:val="006502AC"/>
    <w:rsid w:val="006538FA"/>
    <w:rsid w:val="006B6C31"/>
    <w:rsid w:val="006F387F"/>
    <w:rsid w:val="0072260E"/>
    <w:rsid w:val="00745F8B"/>
    <w:rsid w:val="00775C8E"/>
    <w:rsid w:val="00781C4E"/>
    <w:rsid w:val="00781F14"/>
    <w:rsid w:val="007B774F"/>
    <w:rsid w:val="007D7BAD"/>
    <w:rsid w:val="00813211"/>
    <w:rsid w:val="008165D0"/>
    <w:rsid w:val="00830355"/>
    <w:rsid w:val="00875929"/>
    <w:rsid w:val="00893231"/>
    <w:rsid w:val="00896917"/>
    <w:rsid w:val="00896ABC"/>
    <w:rsid w:val="008A3EF7"/>
    <w:rsid w:val="008E5C15"/>
    <w:rsid w:val="008F184F"/>
    <w:rsid w:val="00914212"/>
    <w:rsid w:val="009164D0"/>
    <w:rsid w:val="009175E2"/>
    <w:rsid w:val="009672B9"/>
    <w:rsid w:val="00A50A8A"/>
    <w:rsid w:val="00A50F46"/>
    <w:rsid w:val="00A833AC"/>
    <w:rsid w:val="00AF71CC"/>
    <w:rsid w:val="00B0462B"/>
    <w:rsid w:val="00B92B6E"/>
    <w:rsid w:val="00C02385"/>
    <w:rsid w:val="00C0603E"/>
    <w:rsid w:val="00C96A29"/>
    <w:rsid w:val="00CB2FF3"/>
    <w:rsid w:val="00CC08F8"/>
    <w:rsid w:val="00CF7D5A"/>
    <w:rsid w:val="00D13242"/>
    <w:rsid w:val="00D27B33"/>
    <w:rsid w:val="00D43E93"/>
    <w:rsid w:val="00D62814"/>
    <w:rsid w:val="00D80C97"/>
    <w:rsid w:val="00D96047"/>
    <w:rsid w:val="00D9783F"/>
    <w:rsid w:val="00DC64C3"/>
    <w:rsid w:val="00E14E67"/>
    <w:rsid w:val="00E210C9"/>
    <w:rsid w:val="00E35D79"/>
    <w:rsid w:val="00EC470E"/>
    <w:rsid w:val="00ED69C5"/>
    <w:rsid w:val="00F23802"/>
    <w:rsid w:val="00F714C0"/>
    <w:rsid w:val="00FB2E2D"/>
    <w:rsid w:val="00FB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1412"/>
  <w15:docId w15:val="{F042D620-9F76-43F8-8655-A5472684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10C9-4112-44E2-A20D-674E0B3C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9893</Words>
  <Characters>5640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2025-08-11T07:17:00Z</dcterms:created>
  <dcterms:modified xsi:type="dcterms:W3CDTF">2025-08-14T11:25:00Z</dcterms:modified>
</cp:coreProperties>
</file>