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39C56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4BB162C9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6F27A729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45CEC0B8" w14:textId="77777777" w:rsidTr="00112214">
        <w:trPr>
          <w:trHeight w:val="20"/>
        </w:trPr>
        <w:tc>
          <w:tcPr>
            <w:tcW w:w="567" w:type="dxa"/>
          </w:tcPr>
          <w:p w14:paraId="5F44D08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6E01600D" w14:textId="77777777" w:rsidR="00C96A29" w:rsidRPr="005C733A" w:rsidRDefault="00C327D4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C733A">
              <w:rPr>
                <w:sz w:val="22"/>
                <w:szCs w:val="22"/>
              </w:rPr>
              <w:t>Найменування організації, установи, підприємства</w:t>
            </w:r>
            <w:r w:rsidR="005C733A" w:rsidRPr="003F1A47">
              <w:rPr>
                <w:sz w:val="22"/>
                <w:szCs w:val="22"/>
                <w:lang w:val="ru-RU"/>
              </w:rPr>
              <w:t xml:space="preserve">: </w:t>
            </w:r>
            <w:r w:rsidR="005C733A" w:rsidRPr="005C733A">
              <w:rPr>
                <w:b/>
                <w:sz w:val="22"/>
                <w:szCs w:val="22"/>
              </w:rPr>
              <w:t>Дмитрівський  сільський будинок</w:t>
            </w:r>
            <w:r w:rsidR="005C733A">
              <w:rPr>
                <w:b/>
                <w:sz w:val="22"/>
                <w:szCs w:val="22"/>
              </w:rPr>
              <w:t xml:space="preserve">  </w:t>
            </w:r>
            <w:r w:rsidR="005C733A" w:rsidRPr="005C733A">
              <w:rPr>
                <w:b/>
                <w:sz w:val="22"/>
                <w:szCs w:val="22"/>
              </w:rPr>
              <w:t xml:space="preserve"> культури</w:t>
            </w:r>
          </w:p>
        </w:tc>
      </w:tr>
      <w:tr w:rsidR="00C96A29" w:rsidRPr="00616A7C" w14:paraId="1BE760F6" w14:textId="77777777" w:rsidTr="00112214">
        <w:trPr>
          <w:trHeight w:val="20"/>
        </w:trPr>
        <w:tc>
          <w:tcPr>
            <w:tcW w:w="567" w:type="dxa"/>
          </w:tcPr>
          <w:p w14:paraId="27C41F3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29ED9E87" w14:textId="19BC0E0D" w:rsidR="00C96A29" w:rsidRPr="005C733A" w:rsidRDefault="00C96A2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5C733A" w:rsidRPr="003F1A47">
              <w:rPr>
                <w:sz w:val="22"/>
                <w:szCs w:val="22"/>
                <w:lang w:val="ru-RU"/>
              </w:rPr>
              <w:t xml:space="preserve">: </w:t>
            </w:r>
            <w:r w:rsidR="005C733A">
              <w:rPr>
                <w:sz w:val="22"/>
                <w:szCs w:val="22"/>
              </w:rPr>
              <w:t xml:space="preserve"> </w:t>
            </w:r>
            <w:r w:rsidR="003F1A47">
              <w:rPr>
                <w:b/>
                <w:sz w:val="22"/>
                <w:szCs w:val="22"/>
              </w:rPr>
              <w:t>будинок культури</w:t>
            </w:r>
          </w:p>
        </w:tc>
      </w:tr>
      <w:tr w:rsidR="00C96A29" w:rsidRPr="00616A7C" w14:paraId="24D4CBDC" w14:textId="77777777" w:rsidTr="00112214">
        <w:trPr>
          <w:trHeight w:val="20"/>
        </w:trPr>
        <w:tc>
          <w:tcPr>
            <w:tcW w:w="567" w:type="dxa"/>
          </w:tcPr>
          <w:p w14:paraId="167F6E8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31BFC427" w14:textId="77777777" w:rsidR="00C96A29" w:rsidRPr="00616A7C" w:rsidRDefault="00C96A2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  <w:r w:rsidR="00C327D4">
              <w:rPr>
                <w:sz w:val="22"/>
                <w:szCs w:val="22"/>
              </w:rPr>
              <w:t xml:space="preserve"> </w:t>
            </w:r>
            <w:r w:rsidR="005C733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96A29" w:rsidRPr="00616A7C" w14:paraId="0EA3F2E1" w14:textId="77777777" w:rsidTr="00112214">
        <w:trPr>
          <w:trHeight w:val="20"/>
        </w:trPr>
        <w:tc>
          <w:tcPr>
            <w:tcW w:w="567" w:type="dxa"/>
          </w:tcPr>
          <w:p w14:paraId="129D798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E4C429A" w14:textId="77777777" w:rsidR="00C96A29" w:rsidRPr="00616A7C" w:rsidRDefault="00C96A2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5C733A">
              <w:rPr>
                <w:sz w:val="22"/>
                <w:szCs w:val="22"/>
              </w:rPr>
              <w:t xml:space="preserve">   </w:t>
            </w:r>
            <w:r w:rsidR="005C733A">
              <w:rPr>
                <w:b/>
                <w:sz w:val="22"/>
                <w:szCs w:val="22"/>
              </w:rPr>
              <w:t>село</w:t>
            </w:r>
          </w:p>
        </w:tc>
      </w:tr>
      <w:tr w:rsidR="00C96A29" w:rsidRPr="00616A7C" w14:paraId="0B3F288A" w14:textId="77777777" w:rsidTr="00112214">
        <w:trPr>
          <w:trHeight w:val="20"/>
        </w:trPr>
        <w:tc>
          <w:tcPr>
            <w:tcW w:w="567" w:type="dxa"/>
          </w:tcPr>
          <w:p w14:paraId="42A9488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73512681" w14:textId="77777777" w:rsidR="00C96A29" w:rsidRPr="00616A7C" w:rsidRDefault="009672B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</w:t>
            </w:r>
            <w:r w:rsidR="005C733A">
              <w:rPr>
                <w:sz w:val="22"/>
                <w:szCs w:val="22"/>
              </w:rPr>
              <w:t xml:space="preserve">    </w:t>
            </w:r>
            <w:r w:rsidR="005C733A" w:rsidRPr="005C733A">
              <w:rPr>
                <w:b/>
                <w:sz w:val="22"/>
                <w:szCs w:val="22"/>
              </w:rPr>
              <w:t>Дмитрівка</w:t>
            </w:r>
          </w:p>
        </w:tc>
      </w:tr>
      <w:tr w:rsidR="00C96A29" w:rsidRPr="00616A7C" w14:paraId="059411BD" w14:textId="77777777" w:rsidTr="00112214">
        <w:trPr>
          <w:trHeight w:val="20"/>
        </w:trPr>
        <w:tc>
          <w:tcPr>
            <w:tcW w:w="567" w:type="dxa"/>
          </w:tcPr>
          <w:p w14:paraId="1102EB6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80DD43E" w14:textId="77777777" w:rsidR="00C96A29" w:rsidRPr="00616A7C" w:rsidRDefault="009672B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5C733A">
              <w:rPr>
                <w:sz w:val="22"/>
                <w:szCs w:val="22"/>
              </w:rPr>
              <w:t xml:space="preserve">   </w:t>
            </w:r>
            <w:r w:rsidR="005C733A" w:rsidRPr="005C733A">
              <w:rPr>
                <w:b/>
                <w:sz w:val="22"/>
                <w:szCs w:val="22"/>
              </w:rPr>
              <w:t xml:space="preserve">вулиця   </w:t>
            </w:r>
            <w:r w:rsidR="00C327D4" w:rsidRPr="005C733A">
              <w:rPr>
                <w:b/>
                <w:sz w:val="22"/>
                <w:szCs w:val="22"/>
              </w:rPr>
              <w:t xml:space="preserve"> Центральна </w:t>
            </w:r>
            <w:r w:rsidR="005C733A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3B102E" w14:textId="77777777" w:rsidTr="00112214">
        <w:trPr>
          <w:trHeight w:val="80"/>
        </w:trPr>
        <w:tc>
          <w:tcPr>
            <w:tcW w:w="567" w:type="dxa"/>
          </w:tcPr>
          <w:p w14:paraId="1C79308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7046FBE9" w14:textId="0E527060" w:rsidR="00C96A29" w:rsidRPr="00616A7C" w:rsidRDefault="005C733A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будинку     </w:t>
            </w:r>
            <w:r w:rsidR="00C327D4" w:rsidRPr="005C733A">
              <w:rPr>
                <w:b/>
                <w:sz w:val="22"/>
                <w:szCs w:val="22"/>
              </w:rPr>
              <w:t>94</w:t>
            </w:r>
            <w:r w:rsidR="00587DD9">
              <w:rPr>
                <w:b/>
                <w:sz w:val="22"/>
                <w:szCs w:val="22"/>
              </w:rPr>
              <w:t>-В</w:t>
            </w:r>
          </w:p>
        </w:tc>
      </w:tr>
      <w:tr w:rsidR="00C96A29" w:rsidRPr="00616A7C" w14:paraId="567C8E68" w14:textId="77777777" w:rsidTr="00112214">
        <w:trPr>
          <w:trHeight w:val="20"/>
        </w:trPr>
        <w:tc>
          <w:tcPr>
            <w:tcW w:w="567" w:type="dxa"/>
          </w:tcPr>
          <w:p w14:paraId="6AE89C5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78C2712C" w14:textId="77777777" w:rsidR="00C96A29" w:rsidRPr="00616A7C" w:rsidRDefault="00C96A2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Кількість поверхів _</w:t>
            </w:r>
            <w:r w:rsidR="00C327D4" w:rsidRPr="005C733A">
              <w:rPr>
                <w:b/>
                <w:sz w:val="22"/>
                <w:szCs w:val="22"/>
              </w:rPr>
              <w:t>1</w:t>
            </w:r>
            <w:r w:rsidR="005C733A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E121C9" w14:textId="77777777" w:rsidTr="00112214">
        <w:trPr>
          <w:trHeight w:val="20"/>
        </w:trPr>
        <w:tc>
          <w:tcPr>
            <w:tcW w:w="567" w:type="dxa"/>
          </w:tcPr>
          <w:p w14:paraId="03701B8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7EDBD0AB" w14:textId="77777777" w:rsidR="00C96A29" w:rsidRPr="00616A7C" w:rsidRDefault="00C96A2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(державна/комунальна/приватна)</w:t>
            </w:r>
            <w:r w:rsidR="005C733A">
              <w:rPr>
                <w:sz w:val="22"/>
                <w:szCs w:val="22"/>
              </w:rPr>
              <w:t xml:space="preserve">    </w:t>
            </w:r>
            <w:r w:rsidR="005C733A" w:rsidRPr="005C733A">
              <w:rPr>
                <w:b/>
                <w:sz w:val="22"/>
                <w:szCs w:val="22"/>
              </w:rPr>
              <w:t>комунальна</w:t>
            </w:r>
          </w:p>
        </w:tc>
      </w:tr>
      <w:tr w:rsidR="00C96A29" w:rsidRPr="00616A7C" w14:paraId="042EA7C7" w14:textId="77777777" w:rsidTr="00112214">
        <w:trPr>
          <w:trHeight w:val="20"/>
        </w:trPr>
        <w:tc>
          <w:tcPr>
            <w:tcW w:w="567" w:type="dxa"/>
          </w:tcPr>
          <w:p w14:paraId="44DA0AF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7BE4661F" w14:textId="77777777" w:rsidR="00C96A29" w:rsidRPr="005C733A" w:rsidRDefault="00C96A29" w:rsidP="005C7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="005C733A">
              <w:rPr>
                <w:sz w:val="22"/>
                <w:szCs w:val="22"/>
                <w:lang w:val="ru-RU"/>
              </w:rPr>
              <w:t xml:space="preserve">   </w:t>
            </w:r>
            <w:r w:rsidR="005C733A">
              <w:rPr>
                <w:b/>
                <w:sz w:val="22"/>
                <w:szCs w:val="22"/>
              </w:rPr>
              <w:t xml:space="preserve"> </w:t>
            </w:r>
            <w:r w:rsidR="005C733A" w:rsidRPr="005C733A">
              <w:rPr>
                <w:b/>
                <w:sz w:val="22"/>
                <w:szCs w:val="22"/>
              </w:rPr>
              <w:t xml:space="preserve">  bydunokkyltyru94v@ukr.net</w:t>
            </w:r>
          </w:p>
        </w:tc>
      </w:tr>
      <w:tr w:rsidR="00C96A29" w:rsidRPr="00616A7C" w14:paraId="52263F2F" w14:textId="77777777" w:rsidTr="00112214">
        <w:trPr>
          <w:trHeight w:val="20"/>
        </w:trPr>
        <w:tc>
          <w:tcPr>
            <w:tcW w:w="567" w:type="dxa"/>
          </w:tcPr>
          <w:p w14:paraId="0CE7422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1EE1A93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5EC769AD" w14:textId="77777777" w:rsidTr="00112214">
        <w:trPr>
          <w:trHeight w:val="20"/>
        </w:trPr>
        <w:tc>
          <w:tcPr>
            <w:tcW w:w="567" w:type="dxa"/>
          </w:tcPr>
          <w:p w14:paraId="2052C67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22959024" w14:textId="77777777" w:rsidR="00C96A29" w:rsidRPr="00616A7C" w:rsidRDefault="00C96A29" w:rsidP="005C733A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5C733A">
              <w:rPr>
                <w:sz w:val="22"/>
                <w:szCs w:val="22"/>
              </w:rPr>
              <w:t xml:space="preserve">     </w:t>
            </w:r>
            <w:r w:rsidR="001B1434" w:rsidRPr="005C733A">
              <w:rPr>
                <w:b/>
                <w:sz w:val="22"/>
                <w:szCs w:val="22"/>
              </w:rPr>
              <w:t>07.08.2025</w:t>
            </w:r>
            <w:r w:rsidR="005C733A" w:rsidRPr="005C733A">
              <w:rPr>
                <w:b/>
                <w:sz w:val="22"/>
                <w:szCs w:val="22"/>
              </w:rPr>
              <w:t xml:space="preserve"> </w:t>
            </w:r>
            <w:r w:rsidR="001B1434" w:rsidRPr="005C733A">
              <w:rPr>
                <w:b/>
                <w:sz w:val="22"/>
                <w:szCs w:val="22"/>
              </w:rPr>
              <w:t>р</w:t>
            </w:r>
            <w:r w:rsidR="005C733A" w:rsidRPr="005C733A">
              <w:rPr>
                <w:b/>
                <w:sz w:val="22"/>
                <w:szCs w:val="22"/>
              </w:rPr>
              <w:t>оку</w:t>
            </w:r>
            <w:r w:rsidR="005C733A">
              <w:rPr>
                <w:sz w:val="22"/>
                <w:szCs w:val="22"/>
              </w:rPr>
              <w:t xml:space="preserve"> </w:t>
            </w:r>
          </w:p>
        </w:tc>
      </w:tr>
    </w:tbl>
    <w:p w14:paraId="232DFF52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223CEED1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A8AEBA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43E96B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5E6B2A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41F410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0CF32B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29C1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A37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7D4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FB51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3A006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D14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1C2B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8BFE6" w14:textId="77777777" w:rsidR="00C96A29" w:rsidRPr="001B0A5F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6C2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034CF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D90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8390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6CE1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AE6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C15DFC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D355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423B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A3C62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B317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646E62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78414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входу на прилеглу територію та ширина дверей, хвірток (за наявності) 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CD7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1B5D6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978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E0076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7D396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CF98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C0A7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4B6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98C01B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8813D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2C8F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739FD7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7D0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97E586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B59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FCE8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3FE52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056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200414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20B6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B8FA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21C4F" w14:textId="77777777" w:rsidR="00C96A29" w:rsidRPr="00616A7C" w:rsidRDefault="00695E19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4D01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F16684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4ED61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358B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8F19FB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480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238FC6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B90D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127A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C1D4B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CB3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D9DBFA" w14:textId="77777777" w:rsidTr="000256E9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8CA0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C102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41091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C5C3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016866" w14:textId="77777777" w:rsidTr="000256E9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902A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78BD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BD83E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3C4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858FC2" w14:textId="77777777" w:rsidTr="000256E9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0EDC8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13) у разі коли основний вхід є бар’єрним, до доступного входу спрямовують </w:t>
            </w:r>
            <w:r w:rsidRPr="00616A7C">
              <w:rPr>
                <w:sz w:val="22"/>
                <w:szCs w:val="22"/>
              </w:rPr>
              <w:lastRenderedPageBreak/>
              <w:t>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E3DB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1A0AA" w14:textId="77777777" w:rsidR="00C96A29" w:rsidRPr="00616A7C" w:rsidRDefault="000256E9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7D93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5E102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8B2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DA50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1939B" w14:textId="77777777" w:rsidR="00C96A29" w:rsidRPr="00616A7C" w:rsidRDefault="00C96A29" w:rsidP="000256E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0256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9857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7D9E54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EFDD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DE29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BD7B6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34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8A4D8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DCD3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619C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70776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6077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B0ABB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C3AC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8F51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DF1753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8E85D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B0D44C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98BC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4903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D3A90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0C831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E0CBD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518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6C4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96F01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44E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7CD5E7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F8CB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B6EA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0508A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E722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C78219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CD1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1851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AB6A4" w14:textId="77777777" w:rsidR="00C96A29" w:rsidRPr="00616A7C" w:rsidRDefault="001B0A5F" w:rsidP="000256E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D86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A7D0C1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C5DA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2201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7052E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E66D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ED695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6C0F4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5136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62A2F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D504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9108D4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0101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A727F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5EDA1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9EF5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EB318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83250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EDAF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A3F108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2809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C5E080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74B9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B303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00A6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6BE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0878E5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5C4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0017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56F33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7D51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396622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D043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76C9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D1EE4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6E25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F8FBB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022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FA26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4F6B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EA69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70E69C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C882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0D5C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60C50" w14:textId="77777777" w:rsidR="00C96A29" w:rsidRPr="00616A7C" w:rsidRDefault="00695E19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3047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880510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C9B0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</w:t>
            </w:r>
            <w:r w:rsidRPr="00616A7C">
              <w:rPr>
                <w:sz w:val="22"/>
                <w:szCs w:val="22"/>
              </w:rPr>
              <w:lastRenderedPageBreak/>
              <w:t xml:space="preserve">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4746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23583" w14:textId="77777777" w:rsidR="00C96A29" w:rsidRPr="00695E19" w:rsidRDefault="001B1434" w:rsidP="00695E19">
            <w:pPr>
              <w:spacing w:before="120"/>
              <w:jc w:val="center"/>
              <w:rPr>
                <w:sz w:val="22"/>
                <w:szCs w:val="22"/>
              </w:rPr>
            </w:pPr>
            <w:r w:rsidRPr="00695E19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BAE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CBF30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1D70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3250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120B7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0E0C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3797AB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3751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9C3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CD1457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20F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9EBD1E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4CDB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4B12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D36E7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020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9909F3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F7DE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DE69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47A10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B82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D08D2A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879DC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7E34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8273D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62B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D504E0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690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1BEE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4DC22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E04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17E593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E7B0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52612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61C6A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CE3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029BDF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0518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40EF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AE1328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1DD0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B213F6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9BE5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7007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ACC8D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5EA7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67E844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B5B91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4A62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66C1A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DDDB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AC4655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55B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F6BF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C858B" w14:textId="77777777" w:rsidR="00C96A29" w:rsidRPr="001B1434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BF7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A629F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180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B92E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0B377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1B19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8966B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4F99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70DC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8B741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B0D4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B3226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7239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C79B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768D4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D820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1D3DA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CE3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EE34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167D8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D99B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109CE4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363F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E15C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73FF9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E1F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F3E9A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B8E4C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EFA4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3BD13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948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3E994DA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A8D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8D21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FDADF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C912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BCDBF8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3BF6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2A8D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2F799" w14:textId="77777777" w:rsidR="00C96A29" w:rsidRPr="00616A7C" w:rsidRDefault="00695E19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17FB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BE9F65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ACB9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1EEE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5BAA0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56F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6BF10C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D4141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D0AA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E1FF9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D90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EE6AF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F43D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3487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0E1AA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BE13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A15CB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B306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CC6D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8EED88" w14:textId="77777777" w:rsidR="00C96A29" w:rsidRPr="00616A7C" w:rsidRDefault="001B0A5F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B22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E5D5F7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DBA27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B71C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9238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4E76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1588FD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408E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7953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41108" w14:textId="77777777" w:rsidR="00C96A29" w:rsidRPr="00616A7C" w:rsidRDefault="00695E19" w:rsidP="00695E1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E46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206DF6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20C09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47735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BE0019" w14:textId="77777777" w:rsidR="00695E19" w:rsidRDefault="00695E19" w:rsidP="00695E19">
            <w:pPr>
              <w:jc w:val="center"/>
            </w:pPr>
            <w:r w:rsidRPr="007366BE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6A2BD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264E915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AC997" w14:textId="77777777" w:rsidR="00695E19" w:rsidRPr="00616A7C" w:rsidRDefault="00695E1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4768E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4F11E" w14:textId="77777777" w:rsidR="00695E19" w:rsidRDefault="00695E19" w:rsidP="00695E19">
            <w:pPr>
              <w:jc w:val="center"/>
            </w:pPr>
            <w:r w:rsidRPr="007366BE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92C2F8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0CAB6EC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A8A27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2C1F4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76192" w14:textId="77777777" w:rsidR="00695E19" w:rsidRDefault="00695E19" w:rsidP="00695E19">
            <w:pPr>
              <w:jc w:val="center"/>
            </w:pPr>
            <w:r w:rsidRPr="007366BE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6CCCB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23F1746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57268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2B667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C7738" w14:textId="77777777" w:rsidR="00695E19" w:rsidRDefault="00695E19" w:rsidP="00695E19">
            <w:pPr>
              <w:jc w:val="center"/>
            </w:pPr>
            <w:r w:rsidRPr="007366BE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6651B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5CA6208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B8B15" w14:textId="77777777" w:rsidR="00695E19" w:rsidRPr="00616A7C" w:rsidRDefault="00695E1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процес відкриття/закриття дверей ліфта супроводжується звуковим сигналом і голосовим повідомленням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35B2E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DB02E" w14:textId="77777777" w:rsidR="00695E19" w:rsidRDefault="00695E19" w:rsidP="00695E19">
            <w:pPr>
              <w:jc w:val="center"/>
            </w:pPr>
            <w:r w:rsidRPr="00C14CA3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CAA18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13EAAD2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BA626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1F358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15468" w14:textId="77777777" w:rsidR="00695E19" w:rsidRDefault="00695E19" w:rsidP="00695E19">
            <w:pPr>
              <w:jc w:val="center"/>
            </w:pPr>
            <w:r w:rsidRPr="00C14CA3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FE0A9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48CCF31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19174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5D247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0BE0B" w14:textId="77777777" w:rsidR="00695E19" w:rsidRDefault="00695E19" w:rsidP="00695E19">
            <w:pPr>
              <w:jc w:val="center"/>
            </w:pPr>
            <w:r w:rsidRPr="00C14CA3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77414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391E5F4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597CF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DC8B9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A4A09" w14:textId="77777777" w:rsidR="00695E19" w:rsidRDefault="00695E19" w:rsidP="00695E19">
            <w:pPr>
              <w:jc w:val="center"/>
            </w:pPr>
            <w:r w:rsidRPr="00C14CA3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6F33E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95E19" w:rsidRPr="00616A7C" w14:paraId="2343925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AD547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4E97F" w14:textId="77777777" w:rsidR="00695E19" w:rsidRPr="00616A7C" w:rsidRDefault="00695E1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E8BC5" w14:textId="77777777" w:rsidR="00695E19" w:rsidRDefault="00695E19" w:rsidP="00695E19">
            <w:pPr>
              <w:jc w:val="center"/>
            </w:pPr>
            <w:r w:rsidRPr="00C14CA3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4EE38" w14:textId="77777777" w:rsidR="00695E19" w:rsidRPr="00616A7C" w:rsidRDefault="00695E1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7250FB33" w14:textId="77777777" w:rsidR="00C96A29" w:rsidRPr="001B1434" w:rsidRDefault="00C96A29" w:rsidP="001B1434">
      <w:pPr>
        <w:widowControl w:val="0"/>
        <w:spacing w:after="120"/>
        <w:jc w:val="both"/>
        <w:rPr>
          <w:b/>
          <w:sz w:val="22"/>
          <w:szCs w:val="22"/>
        </w:rPr>
      </w:pPr>
      <w:r w:rsidRPr="001B1434">
        <w:rPr>
          <w:b/>
          <w:sz w:val="22"/>
          <w:szCs w:val="22"/>
        </w:rPr>
        <w:t>Висновок</w:t>
      </w:r>
      <w:r w:rsidR="00B92B6E" w:rsidRPr="001B1434">
        <w:rPr>
          <w:b/>
          <w:sz w:val="22"/>
          <w:szCs w:val="22"/>
        </w:rPr>
        <w:t>***</w:t>
      </w:r>
      <w:r w:rsidR="00695E19">
        <w:rPr>
          <w:b/>
          <w:sz w:val="22"/>
          <w:szCs w:val="22"/>
        </w:rPr>
        <w:t xml:space="preserve">:    </w:t>
      </w:r>
      <w:r w:rsidR="001B1434" w:rsidRPr="001B1434">
        <w:rPr>
          <w:b/>
          <w:sz w:val="22"/>
          <w:szCs w:val="22"/>
        </w:rPr>
        <w:t xml:space="preserve">“об’єкт є </w:t>
      </w:r>
      <w:proofErr w:type="spellStart"/>
      <w:r w:rsidR="001B1434" w:rsidRPr="001B1434">
        <w:rPr>
          <w:b/>
          <w:sz w:val="22"/>
          <w:szCs w:val="22"/>
        </w:rPr>
        <w:t>безбар’єрним</w:t>
      </w:r>
      <w:proofErr w:type="spellEnd"/>
      <w:r w:rsidR="001B1434" w:rsidRPr="001B1434">
        <w:rPr>
          <w:b/>
          <w:sz w:val="22"/>
          <w:szCs w:val="22"/>
        </w:rPr>
        <w:t xml:space="preserve">” </w:t>
      </w:r>
    </w:p>
    <w:p w14:paraId="27C1C233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4F43DCF1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3C0690B2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FEF26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43A4AE29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E9DB4C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8EDC4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3929F69D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A411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602CA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9D007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26D4B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BBD01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695E19" w:rsidRPr="00616A7C" w14:paraId="7BC9FF1E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6C818" w14:textId="77777777" w:rsidR="00695E19" w:rsidRPr="00616A7C" w:rsidRDefault="00695E19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6F924" w14:textId="77777777" w:rsidR="00695E1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0AB4D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87EEB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9BDF6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894FE0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95E19" w:rsidRPr="00616A7C" w14:paraId="655490BC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D0B53" w14:textId="77777777" w:rsidR="00695E19" w:rsidRPr="00616A7C" w:rsidRDefault="00695E19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83883" w14:textId="77777777" w:rsidR="00695E1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CA666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8625C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22BF5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D02E4" w14:textId="77777777" w:rsidR="00695E19" w:rsidRPr="00616A7C" w:rsidRDefault="00695E19" w:rsidP="00602B23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5AC40339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16712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C082B" w14:textId="77777777" w:rsidR="00C96A2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1F904" w14:textId="77777777" w:rsidR="00C96A2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AEC6B" w14:textId="77777777" w:rsidR="00C96A2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C7E30" w14:textId="77777777" w:rsidR="00C96A2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F5EA" w14:textId="77777777" w:rsidR="00C96A29" w:rsidRPr="00616A7C" w:rsidRDefault="00695E1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2CBC8D3B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2F6587FE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2DD0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17055288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EF52F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10B13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02D388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9FD84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FAD90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22369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6CA93E63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BE7A6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2A6A5" w14:textId="77777777" w:rsidR="00B92B6E" w:rsidRPr="001B1434" w:rsidRDefault="001B1434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FCB87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FCDBD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A4A161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FD84A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277478F0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B3BF3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6FB" w14:textId="77777777" w:rsidR="00B92B6E" w:rsidRPr="001B1434" w:rsidRDefault="001B1434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DAC86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05325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26A57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6526A" w14:textId="77777777" w:rsidR="00B92B6E" w:rsidRPr="00616A7C" w:rsidRDefault="00695E19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3A504D27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35ACB35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3D684F0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65AD354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0E2E926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5C171B4A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7D7EC07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02AAAC97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68ABCD0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21E5A43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01DAC46E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FBF83" w14:textId="77777777" w:rsidR="00DA43D5" w:rsidRDefault="00DA43D5">
      <w:r>
        <w:separator/>
      </w:r>
    </w:p>
  </w:endnote>
  <w:endnote w:type="continuationSeparator" w:id="0">
    <w:p w14:paraId="689A2DA0" w14:textId="77777777" w:rsidR="00DA43D5" w:rsidRDefault="00DA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E0B82" w14:textId="77777777" w:rsidR="00DA43D5" w:rsidRDefault="00DA43D5">
      <w:r>
        <w:separator/>
      </w:r>
    </w:p>
  </w:footnote>
  <w:footnote w:type="continuationSeparator" w:id="0">
    <w:p w14:paraId="7E4FE5ED" w14:textId="77777777" w:rsidR="00DA43D5" w:rsidRDefault="00DA4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895D" w14:textId="77777777" w:rsidR="002E2C3F" w:rsidRDefault="00921DD5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31AA87CF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D0AA" w14:textId="77777777" w:rsidR="002E2C3F" w:rsidRDefault="00921DD5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695E19">
      <w:rPr>
        <w:noProof/>
      </w:rPr>
      <w:t>9</w:t>
    </w:r>
    <w:r>
      <w:fldChar w:fldCharType="end"/>
    </w:r>
  </w:p>
  <w:p w14:paraId="57C3CB9E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97549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38699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5988362">
    <w:abstractNumId w:val="3"/>
  </w:num>
  <w:num w:numId="4" w16cid:durableId="359163759">
    <w:abstractNumId w:val="4"/>
  </w:num>
  <w:num w:numId="5" w16cid:durableId="974681181">
    <w:abstractNumId w:val="0"/>
  </w:num>
  <w:num w:numId="6" w16cid:durableId="47388917">
    <w:abstractNumId w:val="2"/>
  </w:num>
  <w:num w:numId="7" w16cid:durableId="819663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6E9"/>
    <w:rsid w:val="00025735"/>
    <w:rsid w:val="00025B56"/>
    <w:rsid w:val="000279CE"/>
    <w:rsid w:val="00062A85"/>
    <w:rsid w:val="000B3A6A"/>
    <w:rsid w:val="000E65C8"/>
    <w:rsid w:val="001102B8"/>
    <w:rsid w:val="00112214"/>
    <w:rsid w:val="001300EB"/>
    <w:rsid w:val="00131C7B"/>
    <w:rsid w:val="00155F4E"/>
    <w:rsid w:val="00190793"/>
    <w:rsid w:val="001A5FC5"/>
    <w:rsid w:val="001B0A5F"/>
    <w:rsid w:val="001B1434"/>
    <w:rsid w:val="00210F96"/>
    <w:rsid w:val="00235E70"/>
    <w:rsid w:val="002E2C3F"/>
    <w:rsid w:val="00314240"/>
    <w:rsid w:val="003149CC"/>
    <w:rsid w:val="00315391"/>
    <w:rsid w:val="003A2652"/>
    <w:rsid w:val="003F1A47"/>
    <w:rsid w:val="004A0210"/>
    <w:rsid w:val="004A382A"/>
    <w:rsid w:val="004A44C8"/>
    <w:rsid w:val="004C29EB"/>
    <w:rsid w:val="00525BBB"/>
    <w:rsid w:val="0056005E"/>
    <w:rsid w:val="00587DD9"/>
    <w:rsid w:val="005905C7"/>
    <w:rsid w:val="005C733A"/>
    <w:rsid w:val="005F06C5"/>
    <w:rsid w:val="006060F2"/>
    <w:rsid w:val="00616A7C"/>
    <w:rsid w:val="0062678F"/>
    <w:rsid w:val="0063408E"/>
    <w:rsid w:val="00645343"/>
    <w:rsid w:val="006502AC"/>
    <w:rsid w:val="006538FA"/>
    <w:rsid w:val="00695E19"/>
    <w:rsid w:val="006B6C31"/>
    <w:rsid w:val="006C2D37"/>
    <w:rsid w:val="006F387F"/>
    <w:rsid w:val="0072260E"/>
    <w:rsid w:val="00745F8B"/>
    <w:rsid w:val="00775C8E"/>
    <w:rsid w:val="00781C4E"/>
    <w:rsid w:val="00781F14"/>
    <w:rsid w:val="007D7BAD"/>
    <w:rsid w:val="00802358"/>
    <w:rsid w:val="00813211"/>
    <w:rsid w:val="00830355"/>
    <w:rsid w:val="00875929"/>
    <w:rsid w:val="00893231"/>
    <w:rsid w:val="00896917"/>
    <w:rsid w:val="00896ABC"/>
    <w:rsid w:val="008E0EB8"/>
    <w:rsid w:val="008E5C15"/>
    <w:rsid w:val="008F184F"/>
    <w:rsid w:val="009118C7"/>
    <w:rsid w:val="00914212"/>
    <w:rsid w:val="009164D0"/>
    <w:rsid w:val="009175E2"/>
    <w:rsid w:val="00921DD5"/>
    <w:rsid w:val="009672B9"/>
    <w:rsid w:val="00A50F46"/>
    <w:rsid w:val="00A74E31"/>
    <w:rsid w:val="00A833AC"/>
    <w:rsid w:val="00B0462B"/>
    <w:rsid w:val="00B224DF"/>
    <w:rsid w:val="00B434B5"/>
    <w:rsid w:val="00B92B6E"/>
    <w:rsid w:val="00C02385"/>
    <w:rsid w:val="00C0603E"/>
    <w:rsid w:val="00C327D4"/>
    <w:rsid w:val="00C93FAE"/>
    <w:rsid w:val="00C96A29"/>
    <w:rsid w:val="00CB2FF3"/>
    <w:rsid w:val="00CC08F8"/>
    <w:rsid w:val="00D43E93"/>
    <w:rsid w:val="00D62814"/>
    <w:rsid w:val="00D80C97"/>
    <w:rsid w:val="00D81974"/>
    <w:rsid w:val="00D9783F"/>
    <w:rsid w:val="00DA43D5"/>
    <w:rsid w:val="00DC64C3"/>
    <w:rsid w:val="00E14E67"/>
    <w:rsid w:val="00E625A4"/>
    <w:rsid w:val="00E76D34"/>
    <w:rsid w:val="00EC470E"/>
    <w:rsid w:val="00F20594"/>
    <w:rsid w:val="00F23802"/>
    <w:rsid w:val="00F7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7787"/>
  <w15:docId w15:val="{9E1768CA-BD0E-4464-9307-07D249DD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625A-1A60-4641-97C7-6DEFA388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9770</Words>
  <Characters>5570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6</cp:revision>
  <cp:lastPrinted>2002-04-19T12:13:00Z</cp:lastPrinted>
  <dcterms:created xsi:type="dcterms:W3CDTF">2025-08-11T07:20:00Z</dcterms:created>
  <dcterms:modified xsi:type="dcterms:W3CDTF">2025-09-02T05:29:00Z</dcterms:modified>
</cp:coreProperties>
</file>