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16" w:rsidRDefault="00F03D16" w:rsidP="00F03D16">
      <w:pPr>
        <w:tabs>
          <w:tab w:val="left" w:pos="5284"/>
        </w:tabs>
        <w:ind w:firstLine="5103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Додаток 3</w:t>
      </w:r>
    </w:p>
    <w:p w:rsidR="00F03D16" w:rsidRDefault="00F03D16" w:rsidP="00F03D16">
      <w:pPr>
        <w:tabs>
          <w:tab w:val="left" w:pos="5284"/>
        </w:tabs>
        <w:ind w:firstLine="5103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 xml:space="preserve">до рішення Червоногригорівської </w:t>
      </w:r>
    </w:p>
    <w:p w:rsidR="00F03D16" w:rsidRDefault="00F03D16" w:rsidP="00F03D16">
      <w:pPr>
        <w:tabs>
          <w:tab w:val="left" w:pos="5284"/>
        </w:tabs>
        <w:ind w:firstLine="5103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селищної ради</w:t>
      </w:r>
    </w:p>
    <w:p w:rsidR="00F03D16" w:rsidRDefault="00F03D16" w:rsidP="00F03D16">
      <w:pPr>
        <w:tabs>
          <w:tab w:val="left" w:pos="5284"/>
        </w:tabs>
        <w:ind w:firstLine="5103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від 03 червня 2026 року</w:t>
      </w:r>
    </w:p>
    <w:p w:rsidR="00F03D16" w:rsidRPr="00DF48D9" w:rsidRDefault="00F03D16" w:rsidP="00F03D16">
      <w:pPr>
        <w:tabs>
          <w:tab w:val="left" w:pos="5284"/>
        </w:tabs>
        <w:ind w:firstLine="5103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№ 2224 - 69/</w:t>
      </w:r>
      <w:r>
        <w:rPr>
          <w:noProof/>
          <w:sz w:val="28"/>
          <w:szCs w:val="28"/>
          <w:lang w:val="en-US" w:eastAsia="uk-UA"/>
        </w:rPr>
        <w:t>V</w:t>
      </w:r>
      <w:r>
        <w:rPr>
          <w:noProof/>
          <w:sz w:val="28"/>
          <w:szCs w:val="28"/>
          <w:lang w:val="uk-UA" w:eastAsia="uk-UA"/>
        </w:rPr>
        <w:t>ІІІ</w:t>
      </w:r>
    </w:p>
    <w:p w:rsidR="00F03D16" w:rsidRDefault="00F03D16" w:rsidP="00AB15A6">
      <w:pPr>
        <w:tabs>
          <w:tab w:val="left" w:pos="5284"/>
        </w:tabs>
        <w:jc w:val="center"/>
        <w:rPr>
          <w:b/>
          <w:noProof/>
          <w:sz w:val="28"/>
          <w:szCs w:val="28"/>
          <w:lang w:val="uk-UA" w:eastAsia="uk-UA"/>
        </w:rPr>
      </w:pPr>
    </w:p>
    <w:p w:rsidR="00F03D16" w:rsidRDefault="00F03D16" w:rsidP="00AB15A6">
      <w:pPr>
        <w:tabs>
          <w:tab w:val="left" w:pos="5284"/>
        </w:tabs>
        <w:jc w:val="center"/>
        <w:rPr>
          <w:b/>
          <w:noProof/>
          <w:sz w:val="28"/>
          <w:szCs w:val="28"/>
          <w:lang w:val="uk-UA" w:eastAsia="uk-UA"/>
        </w:rPr>
      </w:pPr>
    </w:p>
    <w:p w:rsidR="0040165A" w:rsidRPr="0040165A" w:rsidRDefault="00445E7A" w:rsidP="00AB15A6">
      <w:pPr>
        <w:tabs>
          <w:tab w:val="left" w:pos="5284"/>
        </w:tabs>
        <w:jc w:val="center"/>
        <w:rPr>
          <w:b/>
          <w:noProof/>
          <w:sz w:val="28"/>
          <w:szCs w:val="28"/>
          <w:lang w:val="uk-UA" w:eastAsia="uk-UA"/>
        </w:rPr>
      </w:pPr>
      <w:r w:rsidRPr="0040165A">
        <w:rPr>
          <w:b/>
          <w:noProof/>
          <w:sz w:val="28"/>
          <w:szCs w:val="28"/>
          <w:lang w:val="uk-UA" w:eastAsia="uk-UA"/>
        </w:rPr>
        <w:t>Експертний висновок</w:t>
      </w:r>
    </w:p>
    <w:p w:rsidR="00445E7A" w:rsidRPr="0040165A" w:rsidRDefault="00445E7A" w:rsidP="00AB15A6">
      <w:pPr>
        <w:tabs>
          <w:tab w:val="left" w:pos="5284"/>
        </w:tabs>
        <w:jc w:val="center"/>
        <w:rPr>
          <w:b/>
          <w:noProof/>
          <w:sz w:val="28"/>
          <w:szCs w:val="28"/>
          <w:lang w:val="uk-UA" w:eastAsia="uk-UA"/>
        </w:rPr>
      </w:pPr>
      <w:r w:rsidRPr="0040165A">
        <w:rPr>
          <w:b/>
          <w:noProof/>
          <w:sz w:val="28"/>
          <w:szCs w:val="28"/>
          <w:lang w:val="uk-UA" w:eastAsia="uk-UA"/>
        </w:rPr>
        <w:t xml:space="preserve"> відповідальної постійної комісії селищної ради з питань </w:t>
      </w:r>
      <w:r w:rsidR="00AB15A6" w:rsidRPr="0040165A">
        <w:rPr>
          <w:b/>
          <w:noProof/>
          <w:sz w:val="28"/>
          <w:szCs w:val="28"/>
          <w:lang w:val="uk-UA" w:eastAsia="uk-UA"/>
        </w:rPr>
        <w:t>фінансів, бюджету, планування соціально-економічного розвитку, інвестицій</w:t>
      </w:r>
      <w:r w:rsidRPr="0040165A">
        <w:rPr>
          <w:b/>
          <w:noProof/>
          <w:sz w:val="28"/>
          <w:szCs w:val="28"/>
          <w:lang w:val="uk-UA" w:eastAsia="uk-UA"/>
        </w:rPr>
        <w:t xml:space="preserve"> щодо проєкту рішення </w:t>
      </w:r>
      <w:r w:rsidR="00BB5541">
        <w:rPr>
          <w:b/>
          <w:noProof/>
          <w:sz w:val="28"/>
          <w:szCs w:val="28"/>
          <w:lang w:val="uk-UA" w:eastAsia="uk-UA"/>
        </w:rPr>
        <w:t xml:space="preserve">Червоногригорівської </w:t>
      </w:r>
      <w:r w:rsidRPr="0040165A">
        <w:rPr>
          <w:b/>
          <w:noProof/>
          <w:sz w:val="28"/>
          <w:szCs w:val="28"/>
          <w:lang w:val="uk-UA" w:eastAsia="uk-UA"/>
        </w:rPr>
        <w:t>селищної ради «</w:t>
      </w:r>
      <w:r w:rsidR="0040165A" w:rsidRPr="0040165A">
        <w:rPr>
          <w:b/>
          <w:noProof/>
          <w:sz w:val="28"/>
          <w:szCs w:val="28"/>
          <w:lang w:val="uk-UA" w:eastAsia="uk-UA"/>
        </w:rPr>
        <w:t>Про встановлення ставок та пільг із сплати земельного податку на території Червоногригорівської селищної територіальної громади на 202</w:t>
      </w:r>
      <w:r w:rsidR="001568FB">
        <w:rPr>
          <w:b/>
          <w:noProof/>
          <w:sz w:val="28"/>
          <w:szCs w:val="28"/>
          <w:lang w:val="uk-UA" w:eastAsia="uk-UA"/>
        </w:rPr>
        <w:t>7</w:t>
      </w:r>
      <w:r w:rsidR="0040165A" w:rsidRPr="0040165A">
        <w:rPr>
          <w:b/>
          <w:noProof/>
          <w:sz w:val="28"/>
          <w:szCs w:val="28"/>
          <w:lang w:val="uk-UA" w:eastAsia="uk-UA"/>
        </w:rPr>
        <w:t xml:space="preserve"> рік</w:t>
      </w:r>
      <w:r w:rsidRPr="0040165A">
        <w:rPr>
          <w:b/>
          <w:noProof/>
          <w:sz w:val="28"/>
          <w:szCs w:val="28"/>
          <w:lang w:val="uk-UA" w:eastAsia="uk-UA"/>
        </w:rPr>
        <w:t>»</w:t>
      </w:r>
    </w:p>
    <w:p w:rsidR="00445E7A" w:rsidRPr="0040165A" w:rsidRDefault="00445E7A" w:rsidP="00F12AEB">
      <w:pPr>
        <w:tabs>
          <w:tab w:val="left" w:pos="5284"/>
        </w:tabs>
        <w:jc w:val="center"/>
        <w:rPr>
          <w:b/>
          <w:noProof/>
          <w:sz w:val="28"/>
          <w:szCs w:val="28"/>
          <w:lang w:val="uk-UA" w:eastAsia="uk-UA"/>
        </w:rPr>
      </w:pPr>
    </w:p>
    <w:p w:rsidR="00445E7A" w:rsidRPr="00A73CD5" w:rsidRDefault="00445E7A" w:rsidP="00A73CD5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 w:rsidRPr="00A73CD5">
        <w:rPr>
          <w:noProof/>
          <w:sz w:val="28"/>
          <w:szCs w:val="28"/>
          <w:lang w:val="uk-UA" w:eastAsia="uk-UA"/>
        </w:rPr>
        <w:t>На виконання вимог статті 34 Закону України «Про засади державної регуляторної політики у сфері господарської діяльності», постійна коміс</w:t>
      </w:r>
      <w:r w:rsidR="001568FB" w:rsidRPr="00A73CD5">
        <w:rPr>
          <w:noProof/>
          <w:sz w:val="28"/>
          <w:szCs w:val="28"/>
          <w:lang w:val="uk-UA" w:eastAsia="uk-UA"/>
        </w:rPr>
        <w:t>ія селищної ради розглянула проє</w:t>
      </w:r>
      <w:r w:rsidRPr="00A73CD5">
        <w:rPr>
          <w:noProof/>
          <w:sz w:val="28"/>
          <w:szCs w:val="28"/>
          <w:lang w:val="uk-UA" w:eastAsia="uk-UA"/>
        </w:rPr>
        <w:t xml:space="preserve">кт рішення </w:t>
      </w:r>
      <w:r w:rsidR="001B2DA9">
        <w:rPr>
          <w:noProof/>
          <w:sz w:val="28"/>
          <w:szCs w:val="28"/>
          <w:lang w:val="uk-UA" w:eastAsia="uk-UA"/>
        </w:rPr>
        <w:t xml:space="preserve">Червоногригорівської </w:t>
      </w:r>
      <w:r w:rsidRPr="00A73CD5">
        <w:rPr>
          <w:noProof/>
          <w:sz w:val="28"/>
          <w:szCs w:val="28"/>
          <w:lang w:val="uk-UA" w:eastAsia="uk-UA"/>
        </w:rPr>
        <w:t>селищної ради «</w:t>
      </w:r>
      <w:r w:rsidR="0040165A" w:rsidRPr="00A73CD5">
        <w:rPr>
          <w:noProof/>
          <w:sz w:val="28"/>
          <w:szCs w:val="28"/>
          <w:lang w:val="uk-UA" w:eastAsia="uk-UA"/>
        </w:rPr>
        <w:t>Про встановлення ставок та пільг із сплати земельного податку на території Червоногригорівської селищної територіальної громади на 202</w:t>
      </w:r>
      <w:r w:rsidR="001568FB" w:rsidRPr="00A73CD5">
        <w:rPr>
          <w:noProof/>
          <w:sz w:val="28"/>
          <w:szCs w:val="28"/>
          <w:lang w:val="uk-UA" w:eastAsia="uk-UA"/>
        </w:rPr>
        <w:t>7</w:t>
      </w:r>
      <w:r w:rsidR="0040165A" w:rsidRPr="00A73CD5">
        <w:rPr>
          <w:noProof/>
          <w:sz w:val="28"/>
          <w:szCs w:val="28"/>
          <w:lang w:val="uk-UA" w:eastAsia="uk-UA"/>
        </w:rPr>
        <w:t xml:space="preserve"> рік</w:t>
      </w:r>
      <w:r w:rsidRPr="00A73CD5">
        <w:rPr>
          <w:noProof/>
          <w:sz w:val="28"/>
          <w:szCs w:val="28"/>
          <w:lang w:val="uk-UA" w:eastAsia="uk-UA"/>
        </w:rPr>
        <w:t>» з аналізом впливу регуляторного акту та встановила наступне:</w:t>
      </w:r>
    </w:p>
    <w:p w:rsidR="00445E7A" w:rsidRPr="00A73CD5" w:rsidRDefault="00445E7A" w:rsidP="00DC1318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 w:rsidRPr="00A73CD5">
        <w:rPr>
          <w:noProof/>
          <w:sz w:val="28"/>
          <w:szCs w:val="28"/>
          <w:lang w:val="uk-UA" w:eastAsia="uk-UA"/>
        </w:rPr>
        <w:t xml:space="preserve">Розробником проєкту регуляторного акта – проєкту рішення </w:t>
      </w:r>
      <w:r w:rsidR="0040165A" w:rsidRPr="00A73CD5">
        <w:rPr>
          <w:noProof/>
          <w:sz w:val="28"/>
          <w:szCs w:val="28"/>
          <w:lang w:val="uk-UA" w:eastAsia="uk-UA"/>
        </w:rPr>
        <w:t>«Про встановлення ставок та пільг із сплати земельного податку на території Червоногригорівської селищної територіальної громади на 202</w:t>
      </w:r>
      <w:r w:rsidR="001568FB" w:rsidRPr="00A73CD5">
        <w:rPr>
          <w:noProof/>
          <w:sz w:val="28"/>
          <w:szCs w:val="28"/>
          <w:lang w:val="uk-UA" w:eastAsia="uk-UA"/>
        </w:rPr>
        <w:t>7</w:t>
      </w:r>
      <w:r w:rsidR="0040165A" w:rsidRPr="00A73CD5">
        <w:rPr>
          <w:noProof/>
          <w:sz w:val="28"/>
          <w:szCs w:val="28"/>
          <w:lang w:val="uk-UA" w:eastAsia="uk-UA"/>
        </w:rPr>
        <w:t xml:space="preserve"> рік»</w:t>
      </w:r>
      <w:r w:rsidRPr="00A73CD5">
        <w:rPr>
          <w:noProof/>
          <w:sz w:val="28"/>
          <w:szCs w:val="28"/>
          <w:lang w:val="uk-UA" w:eastAsia="uk-UA"/>
        </w:rPr>
        <w:t xml:space="preserve"> та аналізу його регуляторного впливу є </w:t>
      </w:r>
      <w:r w:rsidR="00824FBA" w:rsidRPr="00A73CD5">
        <w:rPr>
          <w:noProof/>
          <w:sz w:val="28"/>
          <w:szCs w:val="28"/>
          <w:lang w:val="uk-UA" w:eastAsia="uk-UA"/>
        </w:rPr>
        <w:t>відділ земельних відносин, екології та охорони навколишнього природного середовища виконавчого комітету Червоногригорівської селищної ради</w:t>
      </w:r>
      <w:r w:rsidRPr="00A73CD5">
        <w:rPr>
          <w:noProof/>
          <w:sz w:val="28"/>
          <w:szCs w:val="28"/>
          <w:lang w:val="uk-UA" w:eastAsia="uk-UA"/>
        </w:rPr>
        <w:t>.</w:t>
      </w:r>
    </w:p>
    <w:p w:rsidR="00445E7A" w:rsidRPr="00A73CD5" w:rsidRDefault="00445E7A" w:rsidP="00DC1318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 w:rsidRPr="00A73CD5">
        <w:rPr>
          <w:noProof/>
          <w:sz w:val="28"/>
          <w:szCs w:val="28"/>
          <w:lang w:val="uk-UA" w:eastAsia="uk-UA"/>
        </w:rPr>
        <w:t>Проєкт рішення підготовлений відповідно до норм Податкового кодексу України.</w:t>
      </w:r>
    </w:p>
    <w:p w:rsidR="00445E7A" w:rsidRPr="00A73CD5" w:rsidRDefault="00445E7A" w:rsidP="00DC7B7E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 w:rsidRPr="00A73CD5">
        <w:rPr>
          <w:noProof/>
          <w:sz w:val="28"/>
          <w:szCs w:val="28"/>
          <w:lang w:val="uk-UA" w:eastAsia="uk-UA"/>
        </w:rPr>
        <w:t>1. Відповідність проєкту регуляторного акта принципам державної регуляторної політики, встановлених статтею 4 Закону України «Про засади державної регуляторної політики у сфері господарської діяльності».</w:t>
      </w:r>
    </w:p>
    <w:p w:rsidR="00445E7A" w:rsidRPr="00A73CD5" w:rsidRDefault="00445E7A" w:rsidP="00DC7B7E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 w:rsidRPr="00A73CD5">
        <w:rPr>
          <w:noProof/>
          <w:sz w:val="28"/>
          <w:szCs w:val="28"/>
          <w:lang w:val="uk-UA" w:eastAsia="uk-UA"/>
        </w:rPr>
        <w:t>При підготовці проєкту регуляторного акта витримана послідовність регуляторної діяльності: проєкт відповідає цілям державної регуляторної політики, а також його включено до плану діяльності з підготовки проєктів регуляторних актів на 202</w:t>
      </w:r>
      <w:r w:rsidR="001568FB" w:rsidRPr="00A73CD5">
        <w:rPr>
          <w:noProof/>
          <w:sz w:val="28"/>
          <w:szCs w:val="28"/>
          <w:lang w:val="uk-UA" w:eastAsia="uk-UA"/>
        </w:rPr>
        <w:t>6</w:t>
      </w:r>
      <w:r w:rsidRPr="00A73CD5">
        <w:rPr>
          <w:noProof/>
          <w:sz w:val="28"/>
          <w:szCs w:val="28"/>
          <w:lang w:val="uk-UA" w:eastAsia="uk-UA"/>
        </w:rPr>
        <w:t xml:space="preserve"> рік, проведені роботи з регуляторної процедури:</w:t>
      </w:r>
    </w:p>
    <w:p w:rsidR="00445E7A" w:rsidRPr="00A73CD5" w:rsidRDefault="00445E7A" w:rsidP="00DC7B7E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 w:rsidRPr="00A73CD5">
        <w:rPr>
          <w:noProof/>
          <w:sz w:val="28"/>
          <w:szCs w:val="28"/>
          <w:lang w:val="uk-UA" w:eastAsia="uk-UA"/>
        </w:rPr>
        <w:t xml:space="preserve">- розміщено повідомлення про оприлюднення проєкту регуляторного акта та безпосередньо проєкт з аналізом його регуляторного впливу розміщено на офіційному вебсайті Червоногригорівської селищної </w:t>
      </w:r>
      <w:r w:rsidR="00DC7B7E">
        <w:rPr>
          <w:noProof/>
          <w:sz w:val="28"/>
          <w:szCs w:val="28"/>
          <w:lang w:val="uk-UA" w:eastAsia="uk-UA"/>
        </w:rPr>
        <w:t>територіальної громади та на веб</w:t>
      </w:r>
      <w:r w:rsidRPr="00A73CD5">
        <w:rPr>
          <w:noProof/>
          <w:sz w:val="28"/>
          <w:szCs w:val="28"/>
          <w:lang w:val="uk-UA" w:eastAsia="uk-UA"/>
        </w:rPr>
        <w:t>сторінці селищної ради на Єдиному державному веб</w:t>
      </w:r>
      <w:r w:rsidR="00DC7B7E">
        <w:rPr>
          <w:noProof/>
          <w:sz w:val="28"/>
          <w:szCs w:val="28"/>
          <w:lang w:val="uk-UA" w:eastAsia="uk-UA"/>
        </w:rPr>
        <w:t>порталі відкритих даних.</w:t>
      </w:r>
    </w:p>
    <w:p w:rsidR="00445E7A" w:rsidRPr="00A73CD5" w:rsidRDefault="00445E7A" w:rsidP="00DC7B7E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 w:rsidRPr="00A73CD5">
        <w:rPr>
          <w:noProof/>
          <w:sz w:val="28"/>
          <w:szCs w:val="28"/>
          <w:lang w:val="uk-UA" w:eastAsia="uk-UA"/>
        </w:rPr>
        <w:t xml:space="preserve">Таким чином, проєкт регуляторного акта – </w:t>
      </w:r>
      <w:r w:rsidR="0040165A" w:rsidRPr="00A73CD5">
        <w:rPr>
          <w:noProof/>
          <w:sz w:val="28"/>
          <w:szCs w:val="28"/>
          <w:lang w:val="uk-UA" w:eastAsia="uk-UA"/>
        </w:rPr>
        <w:t xml:space="preserve">проєкт рішення </w:t>
      </w:r>
      <w:r w:rsidR="00DC7B7E">
        <w:rPr>
          <w:noProof/>
          <w:sz w:val="28"/>
          <w:szCs w:val="28"/>
          <w:lang w:val="uk-UA" w:eastAsia="uk-UA"/>
        </w:rPr>
        <w:t xml:space="preserve">Червоногригорівської </w:t>
      </w:r>
      <w:r w:rsidR="0040165A" w:rsidRPr="00A73CD5">
        <w:rPr>
          <w:noProof/>
          <w:sz w:val="28"/>
          <w:szCs w:val="28"/>
          <w:lang w:val="uk-UA" w:eastAsia="uk-UA"/>
        </w:rPr>
        <w:t>селищної ради «Про встановлення ставок та пільг із сплати земельного податку на території Червоногригорівської селищної територіальної громади на 202</w:t>
      </w:r>
      <w:r w:rsidR="001568FB" w:rsidRPr="00A73CD5">
        <w:rPr>
          <w:noProof/>
          <w:sz w:val="28"/>
          <w:szCs w:val="28"/>
          <w:lang w:val="uk-UA" w:eastAsia="uk-UA"/>
        </w:rPr>
        <w:t>7</w:t>
      </w:r>
      <w:r w:rsidR="0040165A" w:rsidRPr="00A73CD5">
        <w:rPr>
          <w:noProof/>
          <w:sz w:val="28"/>
          <w:szCs w:val="28"/>
          <w:lang w:val="uk-UA" w:eastAsia="uk-UA"/>
        </w:rPr>
        <w:t xml:space="preserve"> рік»</w:t>
      </w:r>
      <w:r w:rsidRPr="00A73CD5">
        <w:rPr>
          <w:noProof/>
          <w:sz w:val="28"/>
          <w:szCs w:val="28"/>
          <w:lang w:val="uk-UA" w:eastAsia="uk-UA"/>
        </w:rPr>
        <w:t xml:space="preserve"> з аналізом його регуляторного впливу </w:t>
      </w:r>
      <w:r w:rsidRPr="00A73CD5">
        <w:rPr>
          <w:noProof/>
          <w:sz w:val="28"/>
          <w:szCs w:val="28"/>
          <w:lang w:val="uk-UA" w:eastAsia="uk-UA"/>
        </w:rPr>
        <w:lastRenderedPageBreak/>
        <w:t>відповідає усім принципам державної регуляторної політики, які встановлено статтею 4 Закону України «Про засади державної регуляторної політики у сфері господарської діяльності», а саме: доцільність, адекватність, ефективність, збалансованість, передбачуваність, прозорість та врахування громадської думки.</w:t>
      </w:r>
    </w:p>
    <w:p w:rsidR="00445E7A" w:rsidRPr="00A73CD5" w:rsidRDefault="00445E7A" w:rsidP="00DC7B7E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 w:rsidRPr="00A73CD5">
        <w:rPr>
          <w:noProof/>
          <w:sz w:val="28"/>
          <w:szCs w:val="28"/>
          <w:lang w:val="uk-UA" w:eastAsia="uk-UA"/>
        </w:rPr>
        <w:t>2. Відповідальність проєкту регуляторного акта вимогам статті 8 Закону України «Про засади державної регуляторної політики у сфері господарської діяльності», щодо підготовки аналізу регуляторного впливу.</w:t>
      </w:r>
    </w:p>
    <w:p w:rsidR="00445E7A" w:rsidRPr="00A73CD5" w:rsidRDefault="00445E7A" w:rsidP="00DC7B7E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 w:rsidRPr="00A73CD5">
        <w:rPr>
          <w:noProof/>
          <w:sz w:val="28"/>
          <w:szCs w:val="28"/>
          <w:lang w:val="uk-UA" w:eastAsia="uk-UA"/>
        </w:rPr>
        <w:t>До вищевказаного проєкту регуляторного акта, з метою одержання зауважень та пропозицій, було підготовлено аналіз регуляторного впливу.</w:t>
      </w:r>
    </w:p>
    <w:p w:rsidR="00445E7A" w:rsidRPr="00A73CD5" w:rsidRDefault="00445E7A" w:rsidP="00EA7091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 w:rsidRPr="00A73CD5">
        <w:rPr>
          <w:noProof/>
          <w:sz w:val="28"/>
          <w:szCs w:val="28"/>
          <w:lang w:val="uk-UA" w:eastAsia="uk-UA"/>
        </w:rPr>
        <w:t>Даним аналізом регуляторного впливу:</w:t>
      </w:r>
    </w:p>
    <w:p w:rsidR="00445E7A" w:rsidRPr="00A73CD5" w:rsidRDefault="00EA7091" w:rsidP="00EA7091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 xml:space="preserve">- </w:t>
      </w:r>
      <w:r w:rsidR="00445E7A" w:rsidRPr="00A73CD5">
        <w:rPr>
          <w:noProof/>
          <w:sz w:val="28"/>
          <w:szCs w:val="28"/>
          <w:lang w:val="uk-UA" w:eastAsia="uk-UA"/>
        </w:rPr>
        <w:t>визначено пр</w:t>
      </w:r>
      <w:r w:rsidR="000D092D">
        <w:rPr>
          <w:noProof/>
          <w:sz w:val="28"/>
          <w:szCs w:val="28"/>
          <w:lang w:val="uk-UA" w:eastAsia="uk-UA"/>
        </w:rPr>
        <w:t>облему, яку передбачається розв’</w:t>
      </w:r>
      <w:r w:rsidR="00445E7A" w:rsidRPr="00A73CD5">
        <w:rPr>
          <w:noProof/>
          <w:sz w:val="28"/>
          <w:szCs w:val="28"/>
          <w:lang w:val="uk-UA" w:eastAsia="uk-UA"/>
        </w:rPr>
        <w:t>язати шляхом регулювання;</w:t>
      </w:r>
    </w:p>
    <w:p w:rsidR="00445E7A" w:rsidRPr="00A73CD5" w:rsidRDefault="00EA7091" w:rsidP="00EA7091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 xml:space="preserve">- </w:t>
      </w:r>
      <w:r w:rsidR="00445E7A" w:rsidRPr="00A73CD5">
        <w:rPr>
          <w:noProof/>
          <w:sz w:val="28"/>
          <w:szCs w:val="28"/>
          <w:lang w:val="uk-UA" w:eastAsia="uk-UA"/>
        </w:rPr>
        <w:t>визначені цілі регулювання;</w:t>
      </w:r>
    </w:p>
    <w:p w:rsidR="00445E7A" w:rsidRPr="00A73CD5" w:rsidRDefault="00EA7091" w:rsidP="00EA7091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 xml:space="preserve">- </w:t>
      </w:r>
      <w:r w:rsidR="00445E7A" w:rsidRPr="00A73CD5">
        <w:rPr>
          <w:noProof/>
          <w:sz w:val="28"/>
          <w:szCs w:val="28"/>
          <w:lang w:val="uk-UA" w:eastAsia="uk-UA"/>
        </w:rPr>
        <w:t>визначено та оцінено усі альтернативні способи досягнення визначених цілей;</w:t>
      </w:r>
    </w:p>
    <w:p w:rsidR="00445E7A" w:rsidRPr="00A73CD5" w:rsidRDefault="00EA7091" w:rsidP="00EA7091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 xml:space="preserve">- </w:t>
      </w:r>
      <w:r w:rsidR="000D092D">
        <w:rPr>
          <w:noProof/>
          <w:sz w:val="28"/>
          <w:szCs w:val="28"/>
          <w:lang w:val="uk-UA" w:eastAsia="uk-UA"/>
        </w:rPr>
        <w:t>описано механізми розв’</w:t>
      </w:r>
      <w:r w:rsidR="00445E7A" w:rsidRPr="00A73CD5">
        <w:rPr>
          <w:noProof/>
          <w:sz w:val="28"/>
          <w:szCs w:val="28"/>
          <w:lang w:val="uk-UA" w:eastAsia="uk-UA"/>
        </w:rPr>
        <w:t>язання проблеми;</w:t>
      </w:r>
    </w:p>
    <w:p w:rsidR="00445E7A" w:rsidRPr="00A73CD5" w:rsidRDefault="00EA7091" w:rsidP="00EA7091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 xml:space="preserve">- </w:t>
      </w:r>
      <w:r w:rsidR="00445E7A" w:rsidRPr="00A73CD5">
        <w:rPr>
          <w:noProof/>
          <w:sz w:val="28"/>
          <w:szCs w:val="28"/>
          <w:lang w:val="uk-UA" w:eastAsia="uk-UA"/>
        </w:rPr>
        <w:t>обгрунтовані можливості досягнення визначених цілей у разі прийняття регуляторного акта;</w:t>
      </w:r>
    </w:p>
    <w:p w:rsidR="00445E7A" w:rsidRPr="00A73CD5" w:rsidRDefault="00EA7091" w:rsidP="00EA7091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 xml:space="preserve">- </w:t>
      </w:r>
      <w:r w:rsidR="00445E7A" w:rsidRPr="00A73CD5">
        <w:rPr>
          <w:noProof/>
          <w:sz w:val="28"/>
          <w:szCs w:val="28"/>
          <w:lang w:val="uk-UA" w:eastAsia="uk-UA"/>
        </w:rPr>
        <w:t>визначено очікувані результати прийняття запропонованого регуляторного акту;</w:t>
      </w:r>
    </w:p>
    <w:p w:rsidR="00445E7A" w:rsidRPr="00A73CD5" w:rsidRDefault="00EA7091" w:rsidP="00EA7091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 xml:space="preserve">- </w:t>
      </w:r>
      <w:r w:rsidR="00445E7A" w:rsidRPr="00A73CD5">
        <w:rPr>
          <w:noProof/>
          <w:sz w:val="28"/>
          <w:szCs w:val="28"/>
          <w:lang w:val="uk-UA" w:eastAsia="uk-UA"/>
        </w:rPr>
        <w:t>обгрунтовано строк дії регуляторного акту;</w:t>
      </w:r>
    </w:p>
    <w:p w:rsidR="00445E7A" w:rsidRPr="00A73CD5" w:rsidRDefault="00EA7091" w:rsidP="00EA7091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 xml:space="preserve">- </w:t>
      </w:r>
      <w:r w:rsidR="00445E7A" w:rsidRPr="00A73CD5">
        <w:rPr>
          <w:noProof/>
          <w:sz w:val="28"/>
          <w:szCs w:val="28"/>
          <w:lang w:val="uk-UA" w:eastAsia="uk-UA"/>
        </w:rPr>
        <w:t>визначено показники результативності акту;</w:t>
      </w:r>
    </w:p>
    <w:p w:rsidR="00445E7A" w:rsidRPr="00A73CD5" w:rsidRDefault="00EA7091" w:rsidP="00EA7091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 xml:space="preserve">- </w:t>
      </w:r>
      <w:r w:rsidR="00445E7A" w:rsidRPr="00A73CD5">
        <w:rPr>
          <w:noProof/>
          <w:sz w:val="28"/>
          <w:szCs w:val="28"/>
          <w:lang w:val="uk-UA" w:eastAsia="uk-UA"/>
        </w:rPr>
        <w:t>визначені заходи за допомогою яких буде здійснюватися відстеження результативності регуляторного акта в разі його прийняття.</w:t>
      </w:r>
    </w:p>
    <w:p w:rsidR="00445E7A" w:rsidRPr="00A73CD5" w:rsidRDefault="00445E7A" w:rsidP="00EA7091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 w:rsidRPr="00A73CD5">
        <w:rPr>
          <w:noProof/>
          <w:sz w:val="28"/>
          <w:szCs w:val="28"/>
          <w:lang w:val="uk-UA" w:eastAsia="uk-UA"/>
        </w:rPr>
        <w:t>Узагальнений висновок:</w:t>
      </w:r>
    </w:p>
    <w:p w:rsidR="00AB15A6" w:rsidRPr="00A73CD5" w:rsidRDefault="00445E7A" w:rsidP="00EA7091">
      <w:pPr>
        <w:tabs>
          <w:tab w:val="left" w:pos="5284"/>
        </w:tabs>
        <w:ind w:firstLine="709"/>
        <w:jc w:val="both"/>
        <w:rPr>
          <w:noProof/>
          <w:sz w:val="28"/>
          <w:szCs w:val="28"/>
          <w:lang w:val="uk-UA" w:eastAsia="uk-UA"/>
        </w:rPr>
      </w:pPr>
      <w:r w:rsidRPr="00A73CD5">
        <w:rPr>
          <w:noProof/>
          <w:sz w:val="28"/>
          <w:szCs w:val="28"/>
          <w:lang w:val="uk-UA" w:eastAsia="uk-UA"/>
        </w:rPr>
        <w:t xml:space="preserve">Постійна комісія </w:t>
      </w:r>
      <w:r w:rsidR="00AB15A6" w:rsidRPr="00A73CD5">
        <w:rPr>
          <w:noProof/>
          <w:sz w:val="28"/>
          <w:szCs w:val="28"/>
          <w:lang w:val="uk-UA" w:eastAsia="uk-UA"/>
        </w:rPr>
        <w:t>з питань фінансів, бюджету, планування соціально-економічного розвитку, інвестицій</w:t>
      </w:r>
      <w:r w:rsidRPr="00A73CD5">
        <w:rPr>
          <w:noProof/>
          <w:sz w:val="28"/>
          <w:szCs w:val="28"/>
          <w:lang w:val="uk-UA" w:eastAsia="uk-UA"/>
        </w:rPr>
        <w:t xml:space="preserve"> за підсумками розгляду вважає, що проєкт регуляторного акта – проєкт рішення </w:t>
      </w:r>
      <w:r w:rsidR="001D0DE3">
        <w:rPr>
          <w:noProof/>
          <w:sz w:val="28"/>
          <w:szCs w:val="28"/>
          <w:lang w:val="uk-UA" w:eastAsia="uk-UA"/>
        </w:rPr>
        <w:t xml:space="preserve">Червоногригорівської </w:t>
      </w:r>
      <w:r w:rsidRPr="00A73CD5">
        <w:rPr>
          <w:noProof/>
          <w:sz w:val="28"/>
          <w:szCs w:val="28"/>
          <w:lang w:val="uk-UA" w:eastAsia="uk-UA"/>
        </w:rPr>
        <w:t xml:space="preserve">селищної ради </w:t>
      </w:r>
      <w:r w:rsidR="0040165A" w:rsidRPr="00A73CD5">
        <w:rPr>
          <w:noProof/>
          <w:sz w:val="28"/>
          <w:szCs w:val="28"/>
          <w:lang w:val="uk-UA" w:eastAsia="uk-UA"/>
        </w:rPr>
        <w:t>«Про встановлення ставок та пільг із сплати земельного податку на території Червоногригорівської селищної територіальної громади на 202</w:t>
      </w:r>
      <w:r w:rsidR="001568FB" w:rsidRPr="00A73CD5">
        <w:rPr>
          <w:noProof/>
          <w:sz w:val="28"/>
          <w:szCs w:val="28"/>
          <w:lang w:val="uk-UA" w:eastAsia="uk-UA"/>
        </w:rPr>
        <w:t>7</w:t>
      </w:r>
      <w:r w:rsidR="0040165A" w:rsidRPr="00A73CD5">
        <w:rPr>
          <w:noProof/>
          <w:sz w:val="28"/>
          <w:szCs w:val="28"/>
          <w:lang w:val="uk-UA" w:eastAsia="uk-UA"/>
        </w:rPr>
        <w:t xml:space="preserve"> рік»</w:t>
      </w:r>
      <w:r w:rsidRPr="00A73CD5">
        <w:rPr>
          <w:noProof/>
          <w:sz w:val="28"/>
          <w:szCs w:val="28"/>
          <w:lang w:val="uk-UA" w:eastAsia="uk-UA"/>
        </w:rPr>
        <w:t xml:space="preserve"> та аналіз його регуляторного впливу відповідають вимогам статей 4, 8 Закону України «Про засади державної регуляторної політикиу сфері господарської діяльності».</w:t>
      </w:r>
    </w:p>
    <w:p w:rsidR="00010365" w:rsidRDefault="00010365" w:rsidP="00AB15A6">
      <w:pPr>
        <w:tabs>
          <w:tab w:val="left" w:pos="5284"/>
        </w:tabs>
        <w:ind w:firstLine="540"/>
        <w:jc w:val="both"/>
        <w:rPr>
          <w:noProof/>
          <w:sz w:val="28"/>
          <w:szCs w:val="28"/>
          <w:lang w:val="uk-UA" w:eastAsia="uk-UA"/>
        </w:rPr>
      </w:pPr>
    </w:p>
    <w:p w:rsidR="00010365" w:rsidRPr="0040165A" w:rsidRDefault="00010365" w:rsidP="00AB15A6">
      <w:pPr>
        <w:tabs>
          <w:tab w:val="left" w:pos="5284"/>
        </w:tabs>
        <w:ind w:firstLine="540"/>
        <w:jc w:val="both"/>
        <w:rPr>
          <w:noProof/>
          <w:sz w:val="28"/>
          <w:szCs w:val="28"/>
          <w:lang w:val="uk-UA" w:eastAsia="uk-UA"/>
        </w:rPr>
      </w:pPr>
      <w:bookmarkStart w:id="0" w:name="_GoBack"/>
      <w:bookmarkEnd w:id="0"/>
    </w:p>
    <w:p w:rsidR="00A438DC" w:rsidRPr="0040165A" w:rsidRDefault="00A438DC" w:rsidP="00A438DC">
      <w:pPr>
        <w:tabs>
          <w:tab w:val="left" w:pos="5284"/>
        </w:tabs>
        <w:jc w:val="both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Секретар селищної ради                                                                  Олена КРАЙНІК</w:t>
      </w:r>
    </w:p>
    <w:p w:rsidR="00445E7A" w:rsidRPr="0040165A" w:rsidRDefault="00445E7A" w:rsidP="00F12AEB">
      <w:pPr>
        <w:tabs>
          <w:tab w:val="left" w:pos="5284"/>
        </w:tabs>
        <w:rPr>
          <w:b/>
          <w:noProof/>
          <w:sz w:val="28"/>
          <w:szCs w:val="28"/>
          <w:lang w:val="uk-UA" w:eastAsia="uk-UA"/>
        </w:rPr>
      </w:pPr>
    </w:p>
    <w:p w:rsidR="00445E7A" w:rsidRPr="0040165A" w:rsidRDefault="00445E7A" w:rsidP="00F12AEB">
      <w:pPr>
        <w:tabs>
          <w:tab w:val="left" w:pos="5284"/>
        </w:tabs>
        <w:rPr>
          <w:b/>
          <w:sz w:val="28"/>
          <w:szCs w:val="28"/>
          <w:lang w:val="uk-UA"/>
        </w:rPr>
      </w:pPr>
    </w:p>
    <w:sectPr w:rsidR="00445E7A" w:rsidRPr="0040165A" w:rsidSect="00BB5541">
      <w:headerReference w:type="default" r:id="rId8"/>
      <w:head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B77" w:rsidRDefault="00605B77">
      <w:r>
        <w:separator/>
      </w:r>
    </w:p>
  </w:endnote>
  <w:endnote w:type="continuationSeparator" w:id="0">
    <w:p w:rsidR="00605B77" w:rsidRDefault="0060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B77" w:rsidRDefault="00605B77">
      <w:r>
        <w:separator/>
      </w:r>
    </w:p>
  </w:footnote>
  <w:footnote w:type="continuationSeparator" w:id="0">
    <w:p w:rsidR="00605B77" w:rsidRDefault="00605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13025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B5541" w:rsidRPr="00BB5541" w:rsidRDefault="00BB5541">
        <w:pPr>
          <w:pStyle w:val="a7"/>
          <w:jc w:val="center"/>
          <w:rPr>
            <w:sz w:val="28"/>
            <w:szCs w:val="28"/>
          </w:rPr>
        </w:pPr>
        <w:r w:rsidRPr="00BB5541">
          <w:rPr>
            <w:sz w:val="28"/>
            <w:szCs w:val="28"/>
          </w:rPr>
          <w:fldChar w:fldCharType="begin"/>
        </w:r>
        <w:r w:rsidRPr="00BB5541">
          <w:rPr>
            <w:sz w:val="28"/>
            <w:szCs w:val="28"/>
          </w:rPr>
          <w:instrText>PAGE   \* MERGEFORMAT</w:instrText>
        </w:r>
        <w:r w:rsidRPr="00BB5541">
          <w:rPr>
            <w:sz w:val="28"/>
            <w:szCs w:val="28"/>
          </w:rPr>
          <w:fldChar w:fldCharType="separate"/>
        </w:r>
        <w:r w:rsidR="00A438DC">
          <w:rPr>
            <w:noProof/>
            <w:sz w:val="28"/>
            <w:szCs w:val="28"/>
          </w:rPr>
          <w:t>2</w:t>
        </w:r>
        <w:r w:rsidRPr="00BB5541">
          <w:rPr>
            <w:sz w:val="28"/>
            <w:szCs w:val="28"/>
          </w:rPr>
          <w:fldChar w:fldCharType="end"/>
        </w:r>
      </w:p>
    </w:sdtContent>
  </w:sdt>
  <w:p w:rsidR="00BB5541" w:rsidRDefault="00BB554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D16" w:rsidRDefault="00F03D16">
    <w:pPr>
      <w:pStyle w:val="a7"/>
      <w:jc w:val="center"/>
    </w:pPr>
  </w:p>
  <w:p w:rsidR="00F03D16" w:rsidRDefault="00F03D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60ABA"/>
    <w:multiLevelType w:val="hybridMultilevel"/>
    <w:tmpl w:val="CDB66F34"/>
    <w:lvl w:ilvl="0" w:tplc="2F50769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C7"/>
    <w:rsid w:val="00010365"/>
    <w:rsid w:val="00020E3F"/>
    <w:rsid w:val="00036327"/>
    <w:rsid w:val="00052C69"/>
    <w:rsid w:val="00057FB2"/>
    <w:rsid w:val="000643AD"/>
    <w:rsid w:val="00077EF6"/>
    <w:rsid w:val="00090067"/>
    <w:rsid w:val="000A22BC"/>
    <w:rsid w:val="000A70BC"/>
    <w:rsid w:val="000D092D"/>
    <w:rsid w:val="000D5A5B"/>
    <w:rsid w:val="000F7E3B"/>
    <w:rsid w:val="00101264"/>
    <w:rsid w:val="00121CA0"/>
    <w:rsid w:val="00123820"/>
    <w:rsid w:val="00134492"/>
    <w:rsid w:val="00141151"/>
    <w:rsid w:val="00142A5F"/>
    <w:rsid w:val="00147ADD"/>
    <w:rsid w:val="0015077B"/>
    <w:rsid w:val="0015520C"/>
    <w:rsid w:val="001568FB"/>
    <w:rsid w:val="00167C70"/>
    <w:rsid w:val="00182DC6"/>
    <w:rsid w:val="001A7FB1"/>
    <w:rsid w:val="001B1F5B"/>
    <w:rsid w:val="001B2DA9"/>
    <w:rsid w:val="001B3B94"/>
    <w:rsid w:val="001D0DE3"/>
    <w:rsid w:val="001E568F"/>
    <w:rsid w:val="001F6CD9"/>
    <w:rsid w:val="001F76D9"/>
    <w:rsid w:val="0020276A"/>
    <w:rsid w:val="00205367"/>
    <w:rsid w:val="00212C9A"/>
    <w:rsid w:val="002133EE"/>
    <w:rsid w:val="002211D6"/>
    <w:rsid w:val="00226826"/>
    <w:rsid w:val="0024286C"/>
    <w:rsid w:val="00253E6F"/>
    <w:rsid w:val="00254964"/>
    <w:rsid w:val="00284A7D"/>
    <w:rsid w:val="002A0E32"/>
    <w:rsid w:val="002A24B9"/>
    <w:rsid w:val="002A3C0F"/>
    <w:rsid w:val="002D03B6"/>
    <w:rsid w:val="002D335A"/>
    <w:rsid w:val="002E6B65"/>
    <w:rsid w:val="002F513E"/>
    <w:rsid w:val="002F5D88"/>
    <w:rsid w:val="002F7E98"/>
    <w:rsid w:val="00312417"/>
    <w:rsid w:val="00324A00"/>
    <w:rsid w:val="003410E8"/>
    <w:rsid w:val="00341A52"/>
    <w:rsid w:val="00344FE3"/>
    <w:rsid w:val="003570BA"/>
    <w:rsid w:val="00360713"/>
    <w:rsid w:val="00360B10"/>
    <w:rsid w:val="00361A88"/>
    <w:rsid w:val="00374D7B"/>
    <w:rsid w:val="00375A8E"/>
    <w:rsid w:val="00375EDC"/>
    <w:rsid w:val="00377AA2"/>
    <w:rsid w:val="003806E4"/>
    <w:rsid w:val="003A0BD2"/>
    <w:rsid w:val="003A4A86"/>
    <w:rsid w:val="003A512E"/>
    <w:rsid w:val="003C5EAB"/>
    <w:rsid w:val="00400F2D"/>
    <w:rsid w:val="0040165A"/>
    <w:rsid w:val="00406711"/>
    <w:rsid w:val="00416C6A"/>
    <w:rsid w:val="0042442F"/>
    <w:rsid w:val="00425ABD"/>
    <w:rsid w:val="00427EAC"/>
    <w:rsid w:val="0043353C"/>
    <w:rsid w:val="00445E7A"/>
    <w:rsid w:val="00452D7D"/>
    <w:rsid w:val="00454EBE"/>
    <w:rsid w:val="004606B3"/>
    <w:rsid w:val="004625FD"/>
    <w:rsid w:val="00472415"/>
    <w:rsid w:val="0048099B"/>
    <w:rsid w:val="004A1496"/>
    <w:rsid w:val="004A70EC"/>
    <w:rsid w:val="004B5AD4"/>
    <w:rsid w:val="004C47A6"/>
    <w:rsid w:val="004E037B"/>
    <w:rsid w:val="004F0378"/>
    <w:rsid w:val="004F5686"/>
    <w:rsid w:val="00503729"/>
    <w:rsid w:val="00530B5B"/>
    <w:rsid w:val="00532BCC"/>
    <w:rsid w:val="00546D53"/>
    <w:rsid w:val="00577D80"/>
    <w:rsid w:val="00580FD4"/>
    <w:rsid w:val="005B3657"/>
    <w:rsid w:val="005C4D6D"/>
    <w:rsid w:val="005D694F"/>
    <w:rsid w:val="005E3432"/>
    <w:rsid w:val="00605B77"/>
    <w:rsid w:val="00623E1C"/>
    <w:rsid w:val="0066370E"/>
    <w:rsid w:val="006748A7"/>
    <w:rsid w:val="006804FE"/>
    <w:rsid w:val="0068057D"/>
    <w:rsid w:val="0068688D"/>
    <w:rsid w:val="00690AB0"/>
    <w:rsid w:val="00693736"/>
    <w:rsid w:val="006A703B"/>
    <w:rsid w:val="006B5D16"/>
    <w:rsid w:val="006C71F8"/>
    <w:rsid w:val="006D0448"/>
    <w:rsid w:val="006D7559"/>
    <w:rsid w:val="006F69D5"/>
    <w:rsid w:val="00705341"/>
    <w:rsid w:val="0074444F"/>
    <w:rsid w:val="007466BD"/>
    <w:rsid w:val="00756ACE"/>
    <w:rsid w:val="007854ED"/>
    <w:rsid w:val="007909CE"/>
    <w:rsid w:val="007A1B8C"/>
    <w:rsid w:val="007B1712"/>
    <w:rsid w:val="007B3C97"/>
    <w:rsid w:val="007C0B0F"/>
    <w:rsid w:val="007C2665"/>
    <w:rsid w:val="007D0853"/>
    <w:rsid w:val="007E55C7"/>
    <w:rsid w:val="007E62BF"/>
    <w:rsid w:val="00815D33"/>
    <w:rsid w:val="00821A75"/>
    <w:rsid w:val="00824FBA"/>
    <w:rsid w:val="0083139E"/>
    <w:rsid w:val="008451EE"/>
    <w:rsid w:val="0085141C"/>
    <w:rsid w:val="0085280F"/>
    <w:rsid w:val="0086726C"/>
    <w:rsid w:val="00872FCC"/>
    <w:rsid w:val="00876F08"/>
    <w:rsid w:val="008A0014"/>
    <w:rsid w:val="008A543F"/>
    <w:rsid w:val="008A7BC9"/>
    <w:rsid w:val="008C7F00"/>
    <w:rsid w:val="008D28CB"/>
    <w:rsid w:val="008D507A"/>
    <w:rsid w:val="008D70E4"/>
    <w:rsid w:val="008F1199"/>
    <w:rsid w:val="008F71C2"/>
    <w:rsid w:val="00922A4B"/>
    <w:rsid w:val="00935675"/>
    <w:rsid w:val="009434EE"/>
    <w:rsid w:val="009448C3"/>
    <w:rsid w:val="00955C3F"/>
    <w:rsid w:val="00957F55"/>
    <w:rsid w:val="00965329"/>
    <w:rsid w:val="00966A19"/>
    <w:rsid w:val="009B4DBC"/>
    <w:rsid w:val="009B6057"/>
    <w:rsid w:val="009E0057"/>
    <w:rsid w:val="00A170E8"/>
    <w:rsid w:val="00A27B87"/>
    <w:rsid w:val="00A438DC"/>
    <w:rsid w:val="00A44B43"/>
    <w:rsid w:val="00A456CE"/>
    <w:rsid w:val="00A627DA"/>
    <w:rsid w:val="00A73CD5"/>
    <w:rsid w:val="00A80021"/>
    <w:rsid w:val="00AA2DE5"/>
    <w:rsid w:val="00AA5048"/>
    <w:rsid w:val="00AA6BC7"/>
    <w:rsid w:val="00AB15A6"/>
    <w:rsid w:val="00AB2F33"/>
    <w:rsid w:val="00AC3D01"/>
    <w:rsid w:val="00AC6AD7"/>
    <w:rsid w:val="00AC7F09"/>
    <w:rsid w:val="00AE36EF"/>
    <w:rsid w:val="00AF0E1D"/>
    <w:rsid w:val="00AF16FD"/>
    <w:rsid w:val="00B019E8"/>
    <w:rsid w:val="00B05A0B"/>
    <w:rsid w:val="00B063A2"/>
    <w:rsid w:val="00B072E8"/>
    <w:rsid w:val="00B45403"/>
    <w:rsid w:val="00B80B0E"/>
    <w:rsid w:val="00B83BFD"/>
    <w:rsid w:val="00B93450"/>
    <w:rsid w:val="00BA07E9"/>
    <w:rsid w:val="00BB5541"/>
    <w:rsid w:val="00C067FE"/>
    <w:rsid w:val="00C164B7"/>
    <w:rsid w:val="00C1798F"/>
    <w:rsid w:val="00C223BE"/>
    <w:rsid w:val="00C32071"/>
    <w:rsid w:val="00C35511"/>
    <w:rsid w:val="00C40A3C"/>
    <w:rsid w:val="00C42120"/>
    <w:rsid w:val="00C479FB"/>
    <w:rsid w:val="00C53055"/>
    <w:rsid w:val="00C5663E"/>
    <w:rsid w:val="00C73172"/>
    <w:rsid w:val="00C83247"/>
    <w:rsid w:val="00C867DE"/>
    <w:rsid w:val="00C915FC"/>
    <w:rsid w:val="00CA1FDF"/>
    <w:rsid w:val="00CA4344"/>
    <w:rsid w:val="00CC3607"/>
    <w:rsid w:val="00CD44E0"/>
    <w:rsid w:val="00CE5B96"/>
    <w:rsid w:val="00CF0D3C"/>
    <w:rsid w:val="00D061AA"/>
    <w:rsid w:val="00D076C0"/>
    <w:rsid w:val="00D11C88"/>
    <w:rsid w:val="00D1340A"/>
    <w:rsid w:val="00D172B8"/>
    <w:rsid w:val="00D305F3"/>
    <w:rsid w:val="00D34C08"/>
    <w:rsid w:val="00D459D2"/>
    <w:rsid w:val="00D475B6"/>
    <w:rsid w:val="00DA4B3A"/>
    <w:rsid w:val="00DC1318"/>
    <w:rsid w:val="00DC3F3A"/>
    <w:rsid w:val="00DC7B7E"/>
    <w:rsid w:val="00DD163F"/>
    <w:rsid w:val="00DD3B71"/>
    <w:rsid w:val="00DD7888"/>
    <w:rsid w:val="00DE13A1"/>
    <w:rsid w:val="00DE5530"/>
    <w:rsid w:val="00DF4E11"/>
    <w:rsid w:val="00E30B40"/>
    <w:rsid w:val="00E3656F"/>
    <w:rsid w:val="00E42E1B"/>
    <w:rsid w:val="00E73DC0"/>
    <w:rsid w:val="00EA33B6"/>
    <w:rsid w:val="00EA7091"/>
    <w:rsid w:val="00EC5843"/>
    <w:rsid w:val="00EF6EA4"/>
    <w:rsid w:val="00F03D16"/>
    <w:rsid w:val="00F108BE"/>
    <w:rsid w:val="00F11307"/>
    <w:rsid w:val="00F12AEB"/>
    <w:rsid w:val="00F362A1"/>
    <w:rsid w:val="00F41937"/>
    <w:rsid w:val="00F50D9A"/>
    <w:rsid w:val="00F56BAC"/>
    <w:rsid w:val="00F71FF7"/>
    <w:rsid w:val="00F800D3"/>
    <w:rsid w:val="00F8251F"/>
    <w:rsid w:val="00F915FD"/>
    <w:rsid w:val="00F92E44"/>
    <w:rsid w:val="00F9307B"/>
    <w:rsid w:val="00FE3509"/>
    <w:rsid w:val="00FF354A"/>
    <w:rsid w:val="05D802EA"/>
    <w:rsid w:val="07A32A9F"/>
    <w:rsid w:val="52C02FC0"/>
    <w:rsid w:val="5ED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4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A50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5048"/>
    <w:rPr>
      <w:rFonts w:ascii="Tahoma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AA5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A504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AA50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5048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AA5048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A5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4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A50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5048"/>
    <w:rPr>
      <w:rFonts w:ascii="Tahoma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AA5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A504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AA50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5048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AA5048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A5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2750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 відповідальної постійної комісії селищної ради з питань соціально-економічного розвитку, бюджету та фінансів щодо проєкту рішення селищної ради «Про встановлення ставок та пільг із сплати земельного податку на території Червоногригорі</vt:lpstr>
    </vt:vector>
  </TitlesOfParts>
  <Company>SPecialiST RePack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 відповідальної постійної комісії селищної ради з питань соціально-економічного розвитку, бюджету та фінансів щодо проєкту рішення селищної ради «Про встановлення ставок та пільг із сплати земельного податку на території Червоногригорі</dc:title>
  <dc:subject/>
  <dc:creator>user</dc:creator>
  <cp:keywords/>
  <dc:description/>
  <cp:lastModifiedBy>user</cp:lastModifiedBy>
  <cp:revision>14</cp:revision>
  <cp:lastPrinted>2019-05-13T06:22:00Z</cp:lastPrinted>
  <dcterms:created xsi:type="dcterms:W3CDTF">2025-03-13T10:38:00Z</dcterms:created>
  <dcterms:modified xsi:type="dcterms:W3CDTF">2026-06-09T12:13:00Z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