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16" w:rsidRPr="00DB7D3A" w:rsidRDefault="003A511A" w:rsidP="00AA7416">
      <w:pPr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51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ZMINA 2.0: гранти на культурні проєкти</w:t>
      </w:r>
    </w:p>
    <w:p w:rsidR="003A511A" w:rsidRPr="00DB7D3A" w:rsidRDefault="003A511A" w:rsidP="00AA7416">
      <w:pPr>
        <w:spacing w:after="0" w:line="228" w:lineRule="auto"/>
        <w:ind w:firstLine="567"/>
        <w:jc w:val="center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B04FBC" w:rsidRPr="003A511A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1. Тип допомоги:</w:t>
      </w: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грант</w:t>
      </w:r>
    </w:p>
    <w:p w:rsidR="00B04FBC" w:rsidRPr="00227841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B04FBC" w:rsidRPr="00227841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2. Термін дії:</w:t>
      </w:r>
      <w:r w:rsidR="002F332D"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до </w:t>
      </w:r>
      <w:r w:rsidR="003A511A" w:rsidRPr="003A511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30.06.2023</w:t>
      </w:r>
    </w:p>
    <w:p w:rsidR="00B04FBC" w:rsidRPr="00227841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112E75" w:rsidRPr="00AA7416" w:rsidRDefault="00B04FBC" w:rsidP="00112E75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3. Територія: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вся Україна</w:t>
      </w:r>
    </w:p>
    <w:p w:rsidR="00B04FBC" w:rsidRPr="00227841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B04FBC" w:rsidRPr="00653024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4. Вид допомоги: 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до 4 тис. євро</w:t>
      </w:r>
    </w:p>
    <w:p w:rsidR="00653024" w:rsidRPr="00653024" w:rsidRDefault="00653024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</w:p>
    <w:p w:rsidR="00B04FBC" w:rsidRPr="00653024" w:rsidRDefault="00B04FBC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5. </w:t>
      </w:r>
      <w:proofErr w:type="spellStart"/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Дедлайн</w:t>
      </w:r>
      <w:proofErr w:type="spellEnd"/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: 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24 грудня 2022 року</w:t>
      </w:r>
    </w:p>
    <w:p w:rsidR="00653024" w:rsidRPr="003A511A" w:rsidRDefault="00653024" w:rsidP="0028354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3A511A" w:rsidRPr="003A511A" w:rsidRDefault="00B04FBC" w:rsidP="003A511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  <w:r w:rsidRP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6. Учасник(и):</w:t>
      </w:r>
      <w:r w:rsidR="002F332D" w:rsidRP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г</w:t>
      </w:r>
      <w:r w:rsidR="003A511A" w:rsidRP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ромадські організації, що працюють у напрямку культури; 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з</w:t>
      </w:r>
      <w:r w:rsidR="003A511A" w:rsidRP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аклади культури; 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о</w:t>
      </w:r>
      <w:r w:rsidR="003A511A" w:rsidRP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ргани місцевого самоврядування, що відповідають за культуру; 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м</w:t>
      </w:r>
      <w:r w:rsidR="003A511A" w:rsidRP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итці та представники сектору культури (рекомендовано через партнерські ГО);</w:t>
      </w:r>
      <w:r w:rsid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а</w:t>
      </w:r>
      <w:r w:rsidR="003A511A" w:rsidRPr="003A511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ктивісти, що працюють у напрямі культури (рекомендовано через партнерські ГО).</w:t>
      </w:r>
    </w:p>
    <w:p w:rsidR="00B04FBC" w:rsidRPr="003A511A" w:rsidRDefault="00B04FBC" w:rsidP="0028354D">
      <w:pPr>
        <w:pStyle w:val="a6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4"/>
          <w:sz w:val="26"/>
          <w:szCs w:val="26"/>
        </w:rPr>
      </w:pPr>
    </w:p>
    <w:p w:rsidR="00B04FBC" w:rsidRPr="003A511A" w:rsidRDefault="00B04FBC" w:rsidP="0028354D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lang w:val="uk-UA" w:eastAsia="ru-RU"/>
        </w:rPr>
      </w:pPr>
      <w:r w:rsidRPr="0022784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7. Виконавець</w:t>
      </w:r>
      <w:r w:rsidRPr="0022784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lang w:val="uk-UA" w:eastAsia="ru-RU"/>
        </w:rPr>
        <w:t>:</w:t>
      </w:r>
      <w:r w:rsidRPr="00D62F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  <w:t xml:space="preserve"> </w:t>
      </w:r>
      <w:r w:rsidR="003A511A" w:rsidRPr="003A511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МБФ </w:t>
      </w:r>
      <w:r w:rsidR="003A511A" w:rsidRPr="003A511A">
        <w:rPr>
          <w:rFonts w:ascii="Times New Roman" w:hAnsi="Times New Roman" w:cs="Times New Roman"/>
          <w:color w:val="000000" w:themeColor="text1"/>
          <w:sz w:val="26"/>
          <w:szCs w:val="26"/>
        </w:rPr>
        <w:t>“</w:t>
      </w:r>
      <w:r w:rsidR="003A511A" w:rsidRPr="003A511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ІЗОЛЯЦІЯ</w:t>
      </w:r>
      <w:r w:rsidR="003A511A" w:rsidRPr="003A511A">
        <w:rPr>
          <w:rFonts w:ascii="Times New Roman" w:hAnsi="Times New Roman" w:cs="Times New Roman"/>
          <w:color w:val="000000" w:themeColor="text1"/>
          <w:sz w:val="26"/>
          <w:szCs w:val="26"/>
        </w:rPr>
        <w:t>”</w:t>
      </w:r>
    </w:p>
    <w:p w:rsidR="00653024" w:rsidRPr="00D62FD4" w:rsidRDefault="00653024" w:rsidP="0028354D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</w:pPr>
    </w:p>
    <w:p w:rsidR="00D62FD4" w:rsidRPr="003A511A" w:rsidRDefault="00B04FBC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62FD4">
        <w:rPr>
          <w:iCs/>
          <w:color w:val="000000" w:themeColor="text1"/>
          <w:sz w:val="26"/>
          <w:szCs w:val="26"/>
          <w:lang w:val="uk-UA"/>
        </w:rPr>
        <w:t>8. Сфера діяльності:</w:t>
      </w:r>
      <w:r w:rsidR="0028354D">
        <w:rPr>
          <w:iCs/>
          <w:color w:val="000000" w:themeColor="text1"/>
          <w:sz w:val="26"/>
          <w:szCs w:val="26"/>
          <w:lang w:val="uk-UA"/>
        </w:rPr>
        <w:t xml:space="preserve"> </w:t>
      </w:r>
      <w:r w:rsidR="003A511A">
        <w:rPr>
          <w:iCs/>
          <w:color w:val="000000" w:themeColor="text1"/>
          <w:sz w:val="26"/>
          <w:szCs w:val="26"/>
          <w:lang w:val="uk-UA"/>
        </w:rPr>
        <w:t>культура (п</w:t>
      </w:r>
      <w:r w:rsidR="003A511A" w:rsidRPr="003A511A">
        <w:rPr>
          <w:color w:val="000000" w:themeColor="text1"/>
          <w:sz w:val="26"/>
          <w:szCs w:val="26"/>
          <w:lang w:val="uk-UA"/>
        </w:rPr>
        <w:t xml:space="preserve">ріоритет буде надано заявникам, які працюють у Донецькій області, або з громадами ВПО з Донецької області, а також </w:t>
      </w:r>
      <w:proofErr w:type="spellStart"/>
      <w:r w:rsidR="003A511A" w:rsidRPr="003A511A">
        <w:rPr>
          <w:color w:val="000000" w:themeColor="text1"/>
          <w:sz w:val="26"/>
          <w:szCs w:val="26"/>
          <w:lang w:val="uk-UA"/>
        </w:rPr>
        <w:t>проєктам</w:t>
      </w:r>
      <w:proofErr w:type="spellEnd"/>
      <w:r w:rsidR="003A511A" w:rsidRPr="003A511A">
        <w:rPr>
          <w:color w:val="000000" w:themeColor="text1"/>
          <w:sz w:val="26"/>
          <w:szCs w:val="26"/>
          <w:lang w:val="uk-UA"/>
        </w:rPr>
        <w:t>, які залучають найбільш уразливі групи (ВПО, молодь, бе</w:t>
      </w:r>
      <w:r w:rsidR="003A511A">
        <w:rPr>
          <w:color w:val="000000" w:themeColor="text1"/>
          <w:sz w:val="26"/>
          <w:szCs w:val="26"/>
          <w:lang w:val="uk-UA"/>
        </w:rPr>
        <w:t>зробітні, люди з інвалідністю).</w:t>
      </w:r>
    </w:p>
    <w:p w:rsidR="00B04FBC" w:rsidRDefault="00B04FBC" w:rsidP="0028354D">
      <w:pPr>
        <w:pStyle w:val="a6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4"/>
          <w:sz w:val="26"/>
          <w:szCs w:val="26"/>
          <w:lang w:val="uk-UA"/>
        </w:rPr>
      </w:pPr>
    </w:p>
    <w:p w:rsidR="003A511A" w:rsidRPr="003A511A" w:rsidRDefault="003A511A" w:rsidP="003A511A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</w:pPr>
      <w:r w:rsidRPr="003A511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  <w:t>Це можливість отримати до 4 000 євро, щоб активізувати культурне життя своєї спільноти та підтримати дух боротьби за свободу і незалежність України. </w:t>
      </w:r>
    </w:p>
    <w:p w:rsidR="003A511A" w:rsidRPr="003A511A" w:rsidRDefault="003A511A" w:rsidP="003A511A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</w:pPr>
      <w:r w:rsidRPr="003A511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  <w:t>У вас буде пів року на проєкт, який надихне містян на розв’язання соціальних проблем, навчить новим методам співпраці або розвине економіку України.</w:t>
      </w:r>
    </w:p>
    <w:p w:rsidR="003A511A" w:rsidRDefault="003A511A" w:rsidP="003A511A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</w:pPr>
      <w:r w:rsidRPr="003A511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  <w:t>Ініціативою опікується фонд ІЗОЛЯЦІЯ за фінансової підтримки ЄС. Це одна з тисяч можливостей ЄС для українців.</w:t>
      </w:r>
    </w:p>
    <w:p w:rsidR="003A511A" w:rsidRDefault="003A511A" w:rsidP="003A511A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</w:pPr>
    </w:p>
    <w:p w:rsidR="003A511A" w:rsidRPr="003A511A" w:rsidRDefault="003A511A" w:rsidP="003A511A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</w:pPr>
      <w:r w:rsidRPr="003A511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  <w:t>Відповіді на поширенні запитання щодо подання заявки</w:t>
      </w: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uk-UA" w:eastAsia="ru-RU"/>
        </w:rPr>
        <w:br/>
      </w:r>
      <w:hyperlink r:id="rId9" w:anchor="FAQ" w:history="1">
        <w:r w:rsidRPr="003A511A">
          <w:rPr>
            <w:rStyle w:val="a3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за посиланням.</w:t>
        </w:r>
      </w:hyperlink>
      <w:r w:rsidRPr="003A511A">
        <w:rPr>
          <w:rStyle w:val="a3"/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hyperlink r:id="rId10" w:history="1">
        <w:r w:rsidRPr="003A511A">
          <w:rPr>
            <w:rStyle w:val="a3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 xml:space="preserve">Переглянути презентацію з першої хвилі надання </w:t>
        </w:r>
        <w:proofErr w:type="spellStart"/>
        <w:r w:rsidRPr="003A511A">
          <w:rPr>
            <w:rStyle w:val="a3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субгрантів</w:t>
        </w:r>
        <w:proofErr w:type="spellEnd"/>
        <w:r w:rsidRPr="003A511A">
          <w:rPr>
            <w:rStyle w:val="a3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 xml:space="preserve"> для культурних </w:t>
        </w:r>
        <w:proofErr w:type="spellStart"/>
        <w:r w:rsidRPr="003A511A">
          <w:rPr>
            <w:rStyle w:val="a3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проєктів</w:t>
        </w:r>
        <w:proofErr w:type="spellEnd"/>
        <w:r w:rsidRPr="003A511A">
          <w:rPr>
            <w:rStyle w:val="a3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.</w:t>
        </w:r>
      </w:hyperlink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Хто може подаватися:</w:t>
      </w:r>
    </w:p>
    <w:p w:rsidR="003A511A" w:rsidRPr="003A511A" w:rsidRDefault="003A511A" w:rsidP="003A511A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2"/>
        <w:jc w:val="both"/>
        <w:rPr>
          <w:color w:val="000000" w:themeColor="text1"/>
          <w:spacing w:val="-4"/>
          <w:sz w:val="26"/>
          <w:szCs w:val="26"/>
          <w:lang w:val="uk-UA"/>
        </w:rPr>
      </w:pPr>
      <w:r w:rsidRPr="003A511A">
        <w:rPr>
          <w:color w:val="000000" w:themeColor="text1"/>
          <w:spacing w:val="-4"/>
          <w:sz w:val="26"/>
          <w:szCs w:val="26"/>
          <w:lang w:val="uk-UA"/>
        </w:rPr>
        <w:t xml:space="preserve">Громадські організації, що працюють у напрямку культури; </w:t>
      </w:r>
    </w:p>
    <w:p w:rsidR="003A511A" w:rsidRPr="003A511A" w:rsidRDefault="003A511A" w:rsidP="003A511A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2"/>
        <w:jc w:val="both"/>
        <w:rPr>
          <w:color w:val="000000" w:themeColor="text1"/>
          <w:spacing w:val="-4"/>
          <w:sz w:val="26"/>
          <w:szCs w:val="26"/>
          <w:lang w:val="uk-UA"/>
        </w:rPr>
      </w:pPr>
      <w:r w:rsidRPr="003A511A">
        <w:rPr>
          <w:color w:val="000000" w:themeColor="text1"/>
          <w:spacing w:val="-4"/>
          <w:sz w:val="26"/>
          <w:szCs w:val="26"/>
          <w:lang w:val="uk-UA"/>
        </w:rPr>
        <w:t xml:space="preserve">Заклади культури; </w:t>
      </w:r>
    </w:p>
    <w:p w:rsidR="003A511A" w:rsidRPr="003A511A" w:rsidRDefault="003A511A" w:rsidP="003A511A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2"/>
        <w:jc w:val="both"/>
        <w:rPr>
          <w:color w:val="000000" w:themeColor="text1"/>
          <w:spacing w:val="-4"/>
          <w:sz w:val="26"/>
          <w:szCs w:val="26"/>
          <w:lang w:val="uk-UA"/>
        </w:rPr>
      </w:pPr>
      <w:r w:rsidRPr="003A511A">
        <w:rPr>
          <w:color w:val="000000" w:themeColor="text1"/>
          <w:spacing w:val="-4"/>
          <w:sz w:val="26"/>
          <w:szCs w:val="26"/>
          <w:lang w:val="uk-UA"/>
        </w:rPr>
        <w:t xml:space="preserve">Органи місцевого самоврядування, що відповідають за культуру; </w:t>
      </w:r>
    </w:p>
    <w:p w:rsidR="003A511A" w:rsidRPr="003A511A" w:rsidRDefault="003A511A" w:rsidP="003A511A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2"/>
        <w:jc w:val="both"/>
        <w:rPr>
          <w:color w:val="000000" w:themeColor="text1"/>
          <w:spacing w:val="-4"/>
          <w:sz w:val="26"/>
          <w:szCs w:val="26"/>
          <w:lang w:val="uk-UA"/>
        </w:rPr>
      </w:pPr>
      <w:r w:rsidRPr="003A511A">
        <w:rPr>
          <w:color w:val="000000" w:themeColor="text1"/>
          <w:spacing w:val="-4"/>
          <w:sz w:val="26"/>
          <w:szCs w:val="26"/>
          <w:lang w:val="uk-UA"/>
        </w:rPr>
        <w:t>Митці та представники сектору культури (рекомендовано через партнерські ГО);</w:t>
      </w:r>
    </w:p>
    <w:p w:rsidR="003A511A" w:rsidRPr="003A511A" w:rsidRDefault="003A511A" w:rsidP="003A511A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2"/>
        <w:jc w:val="both"/>
        <w:rPr>
          <w:color w:val="000000" w:themeColor="text1"/>
          <w:spacing w:val="-4"/>
          <w:sz w:val="26"/>
          <w:szCs w:val="26"/>
          <w:lang w:val="uk-UA"/>
        </w:rPr>
      </w:pPr>
      <w:r w:rsidRPr="003A511A">
        <w:rPr>
          <w:color w:val="000000" w:themeColor="text1"/>
          <w:spacing w:val="-4"/>
          <w:sz w:val="26"/>
          <w:szCs w:val="26"/>
          <w:lang w:val="uk-UA"/>
        </w:rPr>
        <w:t>Активісти, що працюють у напрямі культури (рекомендовано через партнерські ГО).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3A511A">
        <w:rPr>
          <w:color w:val="000000" w:themeColor="text1"/>
          <w:sz w:val="26"/>
          <w:szCs w:val="26"/>
          <w:lang w:val="uk-UA"/>
        </w:rPr>
        <w:t>Обовʼязковий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досвід роботи в секторі культури або проведення навчальних подій та тренінгів – мінімум 2 роки на дату подання заявки.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З якими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проєктами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можна подаватися: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>
        <w:rPr>
          <w:color w:val="000000" w:themeColor="text1"/>
          <w:sz w:val="26"/>
          <w:szCs w:val="26"/>
          <w:lang w:val="uk-UA"/>
        </w:rPr>
        <w:t>- </w:t>
      </w:r>
      <w:r w:rsidRPr="003A511A">
        <w:rPr>
          <w:color w:val="000000" w:themeColor="text1"/>
          <w:sz w:val="26"/>
          <w:szCs w:val="26"/>
          <w:lang w:val="uk-UA"/>
        </w:rPr>
        <w:t>Проєк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ти мають бути спрямованими на продовження культурного життя та підтримання духу боротьби України за свободу і незалежність зі складовою на громадянський, соціальний або економічний розвиток: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>
        <w:rPr>
          <w:color w:val="000000" w:themeColor="text1"/>
          <w:sz w:val="26"/>
          <w:szCs w:val="26"/>
          <w:lang w:val="uk-UA"/>
        </w:rPr>
        <w:t>- </w:t>
      </w:r>
      <w:r w:rsidRPr="003A511A">
        <w:rPr>
          <w:color w:val="000000" w:themeColor="text1"/>
          <w:sz w:val="26"/>
          <w:szCs w:val="26"/>
          <w:lang w:val="uk-UA"/>
        </w:rPr>
        <w:t>Проєк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ти громадянського розвитку, які заохочують громадян залучатися до розв‘язання суспільних проблем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>
        <w:rPr>
          <w:color w:val="000000" w:themeColor="text1"/>
          <w:sz w:val="26"/>
          <w:szCs w:val="26"/>
          <w:lang w:val="uk-UA"/>
        </w:rPr>
        <w:t>- </w:t>
      </w:r>
      <w:r w:rsidRPr="003A511A">
        <w:rPr>
          <w:color w:val="000000" w:themeColor="text1"/>
          <w:sz w:val="26"/>
          <w:szCs w:val="26"/>
          <w:lang w:val="uk-UA"/>
        </w:rPr>
        <w:t>Проєк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ти соціального розвитку, які дозволяють громадянам освоїти нові методи залучення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>
        <w:rPr>
          <w:color w:val="000000" w:themeColor="text1"/>
          <w:sz w:val="26"/>
          <w:szCs w:val="26"/>
          <w:lang w:val="uk-UA"/>
        </w:rPr>
        <w:lastRenderedPageBreak/>
        <w:t>- </w:t>
      </w:r>
      <w:r w:rsidRPr="003A511A">
        <w:rPr>
          <w:color w:val="000000" w:themeColor="text1"/>
          <w:sz w:val="26"/>
          <w:szCs w:val="26"/>
          <w:lang w:val="uk-UA"/>
        </w:rPr>
        <w:t>Проєк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ти економічного розвитку, які розвивають місцеву економіку або перспективи працевлаштування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Проєкти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мають бути реалізовані лише в Україні.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Заявник гарантує, що щодо реалізації мистецького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та у зв’язку із цим, станом на момент подачі заявки ним повністю додержано та у подальшому ним неухильно буде додержано вимоги чинного законодавства України (а де це є застосовним — також й вимоги іноземного законодавства зокрема та нормативного характеру й публічного порядку взагалі, міжнародних договорів тощо), національні й міжнародні звичаї ділового обороту й правила поведінки усталені у сферах культурної й мистецької діяльності, благодійної допомоги й діяльності, грантової підтримки, взаємодії з міжнародними організаціями й інституціями, фінансово-господарської діяльності, а у будь-якому випадку неоднозначності чи неоднакового розуміння таких вимог — вимоги МБФ ІЗОЛЯЦІЯ.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Загальний бюджет та розмір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: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Максимальна сума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: 4 000 євро.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Загальний бюджет на всі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субгранти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: 160 943,25 євро.</w:t>
      </w:r>
    </w:p>
    <w:p w:rsid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Порядок виплат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для відібраних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: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- </w:t>
      </w:r>
      <w:r w:rsidRPr="003A511A">
        <w:rPr>
          <w:color w:val="000000" w:themeColor="text1"/>
          <w:sz w:val="26"/>
          <w:szCs w:val="26"/>
          <w:lang w:val="uk-UA"/>
        </w:rPr>
        <w:t xml:space="preserve">80% коштів бюджету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виплачується після участі у тренінгу для отримувачів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щодо вимог та рекомендацій щодо видимості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, фінансового менеджменту, оцінки та звітності, які відповідають стандартам ЄС,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- </w:t>
      </w:r>
      <w:r w:rsidRPr="003A511A">
        <w:rPr>
          <w:color w:val="000000" w:themeColor="text1"/>
          <w:sz w:val="26"/>
          <w:szCs w:val="26"/>
          <w:lang w:val="uk-UA"/>
        </w:rPr>
        <w:t xml:space="preserve">20% коштів бюджету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виплачується після отримання фінансового та описового звіту, який повністю враховує витрати за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проєктом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, містить інформацію про реалізацію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та його результати.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ВАЖЛИВО! У разі якщо заявником є фізична особа, або фізична-особа-підприємець (ФОП), надавач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виконує функції податкового агента щодо таких заявників та при виплаті (наданні)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самостійно утримує  податок на доходи фізичних осіб в розмірі 18% та військовий збір в розмірі 1,5%.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виплачується у гривневому еквіваленті євро за курсом обміну на дату продажу частини відповідного траншу від Європейської Комісії.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Строки подачі заявки та отримання результату: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Заявки мають бути подані у строк не пізніше 24.12.2022 року 23:59 за київським часом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Результати: не пізніше 31.01.2023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Заявники будуть проінформовані про результати процесу відбору електронною поштою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З обраними заявниками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звʼяжуться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для укладання угоди. Заявники, чиї проєкти не будуть відібрані для фінансування, отримають лист з відмовою на електронну пошту.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Через кількість заявок команда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ZMINA 2.0 не зможе надати обґрунтування рішення, і воно буде остаточним.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Реалізація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включно з поданням звітності: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З дати підписання Договору про надання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, але не раніше 01.02.2023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lastRenderedPageBreak/>
        <w:t xml:space="preserve">Подання проміжного фінансового звіту, від витрачених коштів першого траншу  після витрачання 80% коштів бюджету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,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Кінцевий термін завершення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, включно з поданням описової та фінансової звітності – 30.06.2023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  <w:lang w:val="uk-UA"/>
        </w:rPr>
      </w:pPr>
      <w:r w:rsidRPr="003A511A">
        <w:rPr>
          <w:b/>
          <w:color w:val="000000" w:themeColor="text1"/>
          <w:sz w:val="26"/>
          <w:szCs w:val="26"/>
          <w:lang w:val="uk-UA"/>
        </w:rPr>
        <w:t xml:space="preserve">Як подати заявку?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Через електронну платформу подачі заявок (</w:t>
      </w:r>
      <w:hyperlink r:id="rId11" w:history="1">
        <w:r w:rsidRPr="00853D6A">
          <w:rPr>
            <w:rStyle w:val="a3"/>
            <w:sz w:val="26"/>
            <w:szCs w:val="26"/>
            <w:lang w:val="uk-UA"/>
          </w:rPr>
          <w:t>https://platform.izolyatsia.org</w:t>
        </w:r>
      </w:hyperlink>
      <w:r w:rsidRPr="003A511A">
        <w:rPr>
          <w:color w:val="000000" w:themeColor="text1"/>
          <w:sz w:val="26"/>
          <w:szCs w:val="26"/>
          <w:lang w:val="uk-UA"/>
        </w:rPr>
        <w:t>).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u w:val="single"/>
          <w:lang w:val="uk-UA"/>
        </w:rPr>
      </w:pPr>
      <w:r w:rsidRPr="003A511A">
        <w:rPr>
          <w:color w:val="000000" w:themeColor="text1"/>
          <w:sz w:val="26"/>
          <w:szCs w:val="26"/>
          <w:u w:val="single"/>
          <w:lang w:val="uk-UA"/>
        </w:rPr>
        <w:t>У заявці необхідно: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Вибрати один із трьох напрямів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(соціальний, громадянський, економічний розвиток);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Описати проєкт, його актуальність для громади, де буде реалізовуватися проєкт, і як він буде втілюватися, що буде досягнуто в результаті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;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Надати бюджет; 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Завантажити документи заявника (для юридичних осіб: витяг з Єдиного державного реєстру юридичних осіб, фізичних осіб – підприємців та громадських формувань, Статут, лист-гарантія; для фізичних осіб-підприємців: витяг з Єдиного державного реєстру юридичних осіб, фізичних осіб – підприємців та громадських формувань, копія паспорту, копія ІПН, лист-гарантія; для фізичних осіб: копія паспорту, копія ІПН, лист-гарантія).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З формою листа-гарантії  та формою бюджету можна ознайомитися безпосередньо на платформі.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ВАЖЛИВО! Кнопка Надіслати мою заявку стане видимою тільки після того, як Ви заповните всі розділи форми заявки й завантажите необхідні документи. Якщо Ви не бачите цю кнопку, продивіться всю заявку та заповніть відсутні частини. Ви отримаєте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електронний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лист із підтвердженням успішного подання Вашої заявки.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3A511A">
        <w:rPr>
          <w:color w:val="000000" w:themeColor="text1"/>
          <w:sz w:val="26"/>
          <w:szCs w:val="26"/>
          <w:lang w:val="uk-UA"/>
        </w:rPr>
        <w:t>Критерії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відбору: як ваша заявка буде оцінюватися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Команда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ZMINA 2.0 перевірить проєкти на відповідність вимогам, викладеним у даному описі надання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для мистецьких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(технічний критерій) й обере попередній список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(short-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list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). Попередній список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буде оцінюватися журі.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B305CF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6"/>
          <w:szCs w:val="26"/>
          <w:u w:val="single"/>
          <w:lang w:val="uk-UA"/>
        </w:rPr>
      </w:pPr>
      <w:r w:rsidRPr="00B305CF">
        <w:rPr>
          <w:i/>
          <w:color w:val="000000" w:themeColor="text1"/>
          <w:sz w:val="26"/>
          <w:szCs w:val="26"/>
          <w:u w:val="single"/>
          <w:lang w:val="uk-UA"/>
        </w:rPr>
        <w:t>Журі оцінюватиме такі аспекти заявки:</w:t>
      </w:r>
    </w:p>
    <w:p w:rsidR="003A511A" w:rsidRPr="003A511A" w:rsidRDefault="00B305CF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- </w:t>
      </w:r>
      <w:r w:rsidR="003A511A" w:rsidRPr="003A511A">
        <w:rPr>
          <w:color w:val="000000" w:themeColor="text1"/>
          <w:sz w:val="26"/>
          <w:szCs w:val="26"/>
          <w:lang w:val="uk-UA"/>
        </w:rPr>
        <w:t xml:space="preserve">Актуальність: якою мірою фінансування цього </w:t>
      </w:r>
      <w:proofErr w:type="spellStart"/>
      <w:r w:rsidR="003A511A"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="003A511A" w:rsidRPr="003A511A">
        <w:rPr>
          <w:color w:val="000000" w:themeColor="text1"/>
          <w:sz w:val="26"/>
          <w:szCs w:val="26"/>
          <w:lang w:val="uk-UA"/>
        </w:rPr>
        <w:t xml:space="preserve"> допоможе заявникові у продовженні культурного життя громади, де буде реалізовуватися проєкт? Наскільки проєкт (з)робить внесок у підтримання духу боротьби за свободу і незалежність України? На які групи учасників розрахований проєкт? (10 балів).</w:t>
      </w:r>
    </w:p>
    <w:p w:rsidR="003A511A" w:rsidRPr="003A511A" w:rsidRDefault="00B305CF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- </w:t>
      </w:r>
      <w:r w:rsidR="003A511A" w:rsidRPr="003A511A">
        <w:rPr>
          <w:color w:val="000000" w:themeColor="text1"/>
          <w:sz w:val="26"/>
          <w:szCs w:val="26"/>
          <w:lang w:val="uk-UA"/>
        </w:rPr>
        <w:t xml:space="preserve">Підготовка: наскільки ретельно підготовлений проєкт для реалізації, наскільки реальним є проєкт для реалізації, наскільки прораховані та/або мінімізовані ризики невиконання </w:t>
      </w:r>
      <w:proofErr w:type="spellStart"/>
      <w:r w:rsidR="003A511A"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="003A511A" w:rsidRPr="003A511A">
        <w:rPr>
          <w:color w:val="000000" w:themeColor="text1"/>
          <w:sz w:val="26"/>
          <w:szCs w:val="26"/>
          <w:lang w:val="uk-UA"/>
        </w:rPr>
        <w:t xml:space="preserve"> (15 балів). </w:t>
      </w:r>
    </w:p>
    <w:p w:rsidR="003A511A" w:rsidRPr="003A511A" w:rsidRDefault="00B305CF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- </w:t>
      </w:r>
      <w:r w:rsidR="003A511A" w:rsidRPr="003A511A">
        <w:rPr>
          <w:color w:val="000000" w:themeColor="text1"/>
          <w:sz w:val="26"/>
          <w:szCs w:val="26"/>
          <w:lang w:val="uk-UA"/>
        </w:rPr>
        <w:t xml:space="preserve">Результати: що буде досягнуто в результаті успішного виконання </w:t>
      </w:r>
      <w:proofErr w:type="spellStart"/>
      <w:r w:rsidR="003A511A"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="003A511A" w:rsidRPr="003A511A">
        <w:rPr>
          <w:color w:val="000000" w:themeColor="text1"/>
          <w:sz w:val="26"/>
          <w:szCs w:val="26"/>
          <w:lang w:val="uk-UA"/>
        </w:rPr>
        <w:t xml:space="preserve"> (10 балів).</w:t>
      </w:r>
    </w:p>
    <w:p w:rsidR="003A511A" w:rsidRPr="003A511A" w:rsidRDefault="00B305CF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- </w:t>
      </w:r>
      <w:r w:rsidR="003A511A" w:rsidRPr="003A511A">
        <w:rPr>
          <w:color w:val="000000" w:themeColor="text1"/>
          <w:sz w:val="26"/>
          <w:szCs w:val="26"/>
          <w:lang w:val="uk-UA"/>
        </w:rPr>
        <w:t xml:space="preserve">Команда: наскільки досвідченою є команда </w:t>
      </w:r>
      <w:proofErr w:type="spellStart"/>
      <w:r w:rsidR="003A511A"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="003A511A" w:rsidRPr="003A511A">
        <w:rPr>
          <w:color w:val="000000" w:themeColor="text1"/>
          <w:sz w:val="26"/>
          <w:szCs w:val="26"/>
          <w:lang w:val="uk-UA"/>
        </w:rPr>
        <w:t xml:space="preserve"> у реалізації </w:t>
      </w:r>
      <w:proofErr w:type="spellStart"/>
      <w:r w:rsidR="003A511A" w:rsidRPr="003A511A">
        <w:rPr>
          <w:color w:val="000000" w:themeColor="text1"/>
          <w:sz w:val="26"/>
          <w:szCs w:val="26"/>
          <w:lang w:val="uk-UA"/>
        </w:rPr>
        <w:t>проєктів</w:t>
      </w:r>
      <w:proofErr w:type="spellEnd"/>
      <w:r w:rsidR="003A511A" w:rsidRPr="003A511A">
        <w:rPr>
          <w:color w:val="000000" w:themeColor="text1"/>
          <w:sz w:val="26"/>
          <w:szCs w:val="26"/>
          <w:lang w:val="uk-UA"/>
        </w:rPr>
        <w:t xml:space="preserve">, у тому числі у наданні описової та фінансової звітності (10 балів). </w:t>
      </w:r>
    </w:p>
    <w:p w:rsidR="003A511A" w:rsidRPr="003A511A" w:rsidRDefault="00B305CF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- </w:t>
      </w:r>
      <w:r w:rsidR="003A511A" w:rsidRPr="003A511A">
        <w:rPr>
          <w:color w:val="000000" w:themeColor="text1"/>
          <w:sz w:val="26"/>
          <w:szCs w:val="26"/>
          <w:lang w:val="uk-UA"/>
        </w:rPr>
        <w:t>Бюджет: наскільки бюджет є раціональним та в межах допустимих витрат (5 балів).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lastRenderedPageBreak/>
        <w:t>Кожен з членів журі оцінить вашу заявку. Остаточна оцінка буде результатом середнього арифметичного всіх оцінок.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Пріоритет буде надано заявникам, які працюють у Донецькій області, або з громадами ВПО з Донецької області, а також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проєктам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, які залучають найбільш уразливі групи (ВПО, молодь, безробітні, люди з інвалідністю).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6"/>
          <w:szCs w:val="26"/>
          <w:lang w:val="uk-UA"/>
        </w:rPr>
      </w:pPr>
      <w:r w:rsidRPr="003A511A">
        <w:rPr>
          <w:i/>
          <w:color w:val="000000" w:themeColor="text1"/>
          <w:sz w:val="26"/>
          <w:szCs w:val="26"/>
          <w:lang w:val="uk-UA"/>
        </w:rPr>
        <w:t>Допустимі витрати та обмеження:</w:t>
      </w:r>
    </w:p>
    <w:p w:rsidR="003A511A" w:rsidRPr="00B305CF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u w:val="single"/>
          <w:lang w:val="uk-UA"/>
        </w:rPr>
      </w:pPr>
      <w:r w:rsidRPr="00B305CF">
        <w:rPr>
          <w:color w:val="000000" w:themeColor="text1"/>
          <w:sz w:val="26"/>
          <w:szCs w:val="26"/>
          <w:u w:val="single"/>
          <w:lang w:val="uk-UA"/>
        </w:rPr>
        <w:t xml:space="preserve">Витрати, передбачені кошторисом </w:t>
      </w:r>
      <w:proofErr w:type="spellStart"/>
      <w:r w:rsidRPr="00B305CF">
        <w:rPr>
          <w:color w:val="000000" w:themeColor="text1"/>
          <w:sz w:val="26"/>
          <w:szCs w:val="26"/>
          <w:u w:val="single"/>
          <w:lang w:val="uk-UA"/>
        </w:rPr>
        <w:t>проєкту</w:t>
      </w:r>
      <w:proofErr w:type="spellEnd"/>
      <w:r w:rsidRPr="00B305CF">
        <w:rPr>
          <w:color w:val="000000" w:themeColor="text1"/>
          <w:sz w:val="26"/>
          <w:szCs w:val="26"/>
          <w:u w:val="single"/>
          <w:lang w:val="uk-UA"/>
        </w:rPr>
        <w:t>, а саме: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послуги за мистецьку/культурну роботу (включно з податками) – згідно з потребами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витрати на проїзд для митців та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дієвців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культури, що залучені у проєкт  (включно з податками) – згідно з потребами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проживання та добові – згідно з потребами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доставка/транспортування (матеріалів, обладнання тощо) – згідно з потребами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матеріали, обладнання тощо – згідно з потребами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послуги, необхідні для реалізації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(послуги виробництва (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продакшину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), оренди обладнання, інструментів тощо, окрім послуг,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повʼязаних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з адмініструванням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)  – згідно з потребами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витрати на комунікацію, маркетинг і документацію.</w:t>
      </w:r>
    </w:p>
    <w:p w:rsidR="003A511A" w:rsidRPr="00B305CF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u w:val="single"/>
          <w:lang w:val="uk-UA"/>
        </w:rPr>
      </w:pPr>
      <w:r w:rsidRPr="00B305CF">
        <w:rPr>
          <w:color w:val="000000" w:themeColor="text1"/>
          <w:sz w:val="26"/>
          <w:szCs w:val="26"/>
          <w:u w:val="single"/>
          <w:lang w:val="uk-UA"/>
        </w:rPr>
        <w:t xml:space="preserve">Витрати, які є необхідними для </w:t>
      </w:r>
      <w:proofErr w:type="spellStart"/>
      <w:r w:rsidRPr="00B305CF">
        <w:rPr>
          <w:color w:val="000000" w:themeColor="text1"/>
          <w:sz w:val="26"/>
          <w:szCs w:val="26"/>
          <w:u w:val="single"/>
          <w:lang w:val="uk-UA"/>
        </w:rPr>
        <w:t>реалізації</w:t>
      </w:r>
      <w:proofErr w:type="spellEnd"/>
      <w:r w:rsidRPr="00B305CF">
        <w:rPr>
          <w:color w:val="000000" w:themeColor="text1"/>
          <w:sz w:val="26"/>
          <w:szCs w:val="26"/>
          <w:u w:val="single"/>
          <w:lang w:val="uk-UA"/>
        </w:rPr>
        <w:t xml:space="preserve"> </w:t>
      </w:r>
      <w:proofErr w:type="spellStart"/>
      <w:r w:rsidRPr="00B305CF">
        <w:rPr>
          <w:color w:val="000000" w:themeColor="text1"/>
          <w:sz w:val="26"/>
          <w:szCs w:val="26"/>
          <w:u w:val="single"/>
          <w:lang w:val="uk-UA"/>
        </w:rPr>
        <w:t>проєкту</w:t>
      </w:r>
      <w:proofErr w:type="spellEnd"/>
      <w:r w:rsidRPr="00B305CF">
        <w:rPr>
          <w:color w:val="000000" w:themeColor="text1"/>
          <w:sz w:val="26"/>
          <w:szCs w:val="26"/>
          <w:u w:val="single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305CF">
        <w:rPr>
          <w:color w:val="000000" w:themeColor="text1"/>
          <w:sz w:val="26"/>
          <w:szCs w:val="26"/>
          <w:u w:val="single"/>
          <w:lang w:val="uk-UA"/>
        </w:rPr>
        <w:t xml:space="preserve">Витрати, які відповідають принципам ефективного, цільового та раціонального використання коштів </w:t>
      </w:r>
      <w:proofErr w:type="spellStart"/>
      <w:r w:rsidRPr="00B305CF">
        <w:rPr>
          <w:color w:val="000000" w:themeColor="text1"/>
          <w:sz w:val="26"/>
          <w:szCs w:val="26"/>
          <w:u w:val="single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305CF">
        <w:rPr>
          <w:color w:val="000000" w:themeColor="text1"/>
          <w:sz w:val="26"/>
          <w:szCs w:val="26"/>
          <w:u w:val="single"/>
          <w:lang w:val="uk-UA"/>
        </w:rPr>
        <w:t xml:space="preserve">Витрати, які фактично будуть понесені протягом періоду </w:t>
      </w:r>
      <w:proofErr w:type="spellStart"/>
      <w:r w:rsidRPr="00B305CF">
        <w:rPr>
          <w:color w:val="000000" w:themeColor="text1"/>
          <w:sz w:val="26"/>
          <w:szCs w:val="26"/>
          <w:u w:val="single"/>
          <w:lang w:val="uk-UA"/>
        </w:rPr>
        <w:t>реалізації</w:t>
      </w:r>
      <w:proofErr w:type="spellEnd"/>
      <w:r w:rsidRPr="00B305CF">
        <w:rPr>
          <w:color w:val="000000" w:themeColor="text1"/>
          <w:sz w:val="26"/>
          <w:szCs w:val="26"/>
          <w:u w:val="single"/>
          <w:lang w:val="uk-UA"/>
        </w:rPr>
        <w:t xml:space="preserve"> цього </w:t>
      </w:r>
      <w:proofErr w:type="spellStart"/>
      <w:r w:rsidRPr="00B305CF">
        <w:rPr>
          <w:color w:val="000000" w:themeColor="text1"/>
          <w:sz w:val="26"/>
          <w:szCs w:val="26"/>
          <w:u w:val="single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(період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реалізації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визначається як період з дати підписання Договору про надання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обома сторонами до дати передачі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фінальної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фінансової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звітності (але не пізніше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кінцевої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дати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реалізації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, яка вказана в Договорі про надання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);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Витрати, які будуть відображені в бухгалтерському обліку отримувача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(окрім заявників фізичних осіб) та мають бути підтверджені фактичною оплатою відповідно до виписок банку.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Недопустимими є витрати: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На адміністративну роботу та послуги,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повʼязані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з адмініструванням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Основні засоби;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Витрати, не передбачені бюджетними рядками кошторису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>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>Моніторинг: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t xml:space="preserve">Після відбору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команда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ZMINA 2.0 проведе тренінг для отримувачів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щодо вимог та рекомендацій щодо видимості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, фінансового менеджменту, оцінки та звітності, які відповідають стандартам ЄС (надалі – вимоги). Отримувачі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, які пройдуть участь у цьому тренінгу, отримають 80% коштів бюджету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. Менеджер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буде контролювати роботу отримувачів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і надаватиме підтримку та інформацію, щоб допомогти їм задовольнити вимоги для реалізації та звітності за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проєктом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. Після отримання фінансового та описового звіту, який повністю враховує витрати за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проєктом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, містить інформацію про реалізацію проекту та його результати,  отримувачу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субгрантів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буде виплачений залишок (20% коштів бюджету).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3A511A">
        <w:rPr>
          <w:color w:val="000000" w:themeColor="text1"/>
          <w:sz w:val="26"/>
          <w:szCs w:val="26"/>
          <w:lang w:val="uk-UA"/>
        </w:rPr>
        <w:lastRenderedPageBreak/>
        <w:t xml:space="preserve">Сторінка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на цьому </w:t>
      </w:r>
      <w:proofErr w:type="spellStart"/>
      <w:r w:rsidRPr="003A511A">
        <w:rPr>
          <w:color w:val="000000" w:themeColor="text1"/>
          <w:sz w:val="26"/>
          <w:szCs w:val="26"/>
          <w:lang w:val="uk-UA"/>
        </w:rPr>
        <w:t>вебсайті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 створена та обслуговується за фінансової підтримки Європейського Союзу. Її зміст є виключною відповідальністю фонду ІЗОЛЯЦІЯ і не обов’язково відображає позицію Європейського Союзу.</w:t>
      </w: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3A511A" w:rsidRPr="003A511A" w:rsidRDefault="003A511A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112E75" w:rsidRPr="003A511A" w:rsidRDefault="00112E75" w:rsidP="003A511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3A511A">
        <w:rPr>
          <w:color w:val="000000" w:themeColor="text1"/>
          <w:sz w:val="26"/>
          <w:szCs w:val="26"/>
          <w:lang w:val="uk-UA"/>
        </w:rPr>
        <w:t>ІнфоДжерело</w:t>
      </w:r>
      <w:proofErr w:type="spellEnd"/>
      <w:r w:rsidRPr="003A511A">
        <w:rPr>
          <w:color w:val="000000" w:themeColor="text1"/>
          <w:sz w:val="26"/>
          <w:szCs w:val="26"/>
          <w:lang w:val="uk-UA"/>
        </w:rPr>
        <w:t xml:space="preserve">: </w:t>
      </w:r>
      <w:hyperlink r:id="rId12" w:history="1">
        <w:r w:rsidR="003A511A" w:rsidRPr="003A511A">
          <w:rPr>
            <w:rStyle w:val="a3"/>
            <w:sz w:val="26"/>
            <w:szCs w:val="26"/>
            <w:lang w:val="uk-UA"/>
          </w:rPr>
          <w:t>https://houseofeurope.org.ua/opportunity/438?fbclid=IwAR1iOtEhtUJbtmf9I_z9ARmZCL1i0dcgVCj4OrIyD4kT9VbMDePvwtzKTYw</w:t>
        </w:r>
      </w:hyperlink>
      <w:r w:rsidR="003A511A" w:rsidRPr="003A511A">
        <w:rPr>
          <w:color w:val="000000" w:themeColor="text1"/>
          <w:sz w:val="26"/>
          <w:szCs w:val="26"/>
          <w:lang w:val="uk-UA"/>
        </w:rPr>
        <w:t xml:space="preserve"> або </w:t>
      </w:r>
      <w:hyperlink r:id="rId13" w:history="1">
        <w:r w:rsidR="003A511A" w:rsidRPr="003A511A">
          <w:rPr>
            <w:rStyle w:val="a3"/>
            <w:sz w:val="26"/>
            <w:szCs w:val="26"/>
            <w:lang w:val="uk-UA"/>
          </w:rPr>
          <w:t>https://izolyatsia.org/ua/project/subgrants-for-culture-projects-second-wave/subgrants-second-wave-info/</w:t>
        </w:r>
      </w:hyperlink>
      <w:r w:rsidR="003A511A" w:rsidRPr="003A511A">
        <w:rPr>
          <w:color w:val="000000" w:themeColor="text1"/>
          <w:sz w:val="26"/>
          <w:szCs w:val="26"/>
          <w:lang w:val="uk-UA"/>
        </w:rPr>
        <w:t xml:space="preserve"> </w:t>
      </w:r>
    </w:p>
    <w:p w:rsidR="008C70AD" w:rsidRPr="003A511A" w:rsidRDefault="008C70AD" w:rsidP="003A5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C70AD" w:rsidRPr="003A511A" w:rsidSect="003A511A">
      <w:headerReference w:type="default" r:id="rId14"/>
      <w:pgSz w:w="11906" w:h="16838"/>
      <w:pgMar w:top="567" w:right="424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3A" w:rsidRDefault="00DB7D3A" w:rsidP="008C70AD">
      <w:pPr>
        <w:spacing w:after="0" w:line="240" w:lineRule="auto"/>
      </w:pPr>
      <w:r>
        <w:separator/>
      </w:r>
    </w:p>
  </w:endnote>
  <w:endnote w:type="continuationSeparator" w:id="0">
    <w:p w:rsidR="00DB7D3A" w:rsidRDefault="00DB7D3A" w:rsidP="008C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3A" w:rsidRDefault="00DB7D3A" w:rsidP="008C70AD">
      <w:pPr>
        <w:spacing w:after="0" w:line="240" w:lineRule="auto"/>
      </w:pPr>
      <w:r>
        <w:separator/>
      </w:r>
    </w:p>
  </w:footnote>
  <w:footnote w:type="continuationSeparator" w:id="0">
    <w:p w:rsidR="00DB7D3A" w:rsidRDefault="00DB7D3A" w:rsidP="008C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49723"/>
      <w:docPartObj>
        <w:docPartGallery w:val="Page Numbers (Top of Page)"/>
        <w:docPartUnique/>
      </w:docPartObj>
    </w:sdtPr>
    <w:sdtContent>
      <w:p w:rsidR="00DB7D3A" w:rsidRDefault="00DB7D3A" w:rsidP="003A511A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9F4">
          <w:rPr>
            <w:noProof/>
          </w:rPr>
          <w:t>5</w:t>
        </w:r>
        <w:r>
          <w:fldChar w:fldCharType="end"/>
        </w:r>
      </w:p>
      <w:p w:rsidR="00DB7D3A" w:rsidRPr="003A511A" w:rsidRDefault="00DB7D3A" w:rsidP="003A511A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56"/>
    <w:multiLevelType w:val="multilevel"/>
    <w:tmpl w:val="B73E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0746"/>
    <w:multiLevelType w:val="multilevel"/>
    <w:tmpl w:val="4E2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131"/>
    <w:multiLevelType w:val="multilevel"/>
    <w:tmpl w:val="823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602DF"/>
    <w:multiLevelType w:val="multilevel"/>
    <w:tmpl w:val="9AD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FD2"/>
    <w:multiLevelType w:val="hybridMultilevel"/>
    <w:tmpl w:val="E79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56A3"/>
    <w:multiLevelType w:val="multilevel"/>
    <w:tmpl w:val="C59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A6B4A"/>
    <w:multiLevelType w:val="multilevel"/>
    <w:tmpl w:val="9DF0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42A0E"/>
    <w:multiLevelType w:val="multilevel"/>
    <w:tmpl w:val="1C58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966D6"/>
    <w:multiLevelType w:val="multilevel"/>
    <w:tmpl w:val="CF8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41B1C"/>
    <w:multiLevelType w:val="multilevel"/>
    <w:tmpl w:val="9250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4C14F5"/>
    <w:multiLevelType w:val="multilevel"/>
    <w:tmpl w:val="5C8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C0F87"/>
    <w:multiLevelType w:val="multilevel"/>
    <w:tmpl w:val="E626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36619"/>
    <w:multiLevelType w:val="multilevel"/>
    <w:tmpl w:val="0FE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6B7C23"/>
    <w:multiLevelType w:val="multilevel"/>
    <w:tmpl w:val="5DC4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E83403"/>
    <w:multiLevelType w:val="multilevel"/>
    <w:tmpl w:val="4AD8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64C26"/>
    <w:multiLevelType w:val="multilevel"/>
    <w:tmpl w:val="11E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A625A"/>
    <w:multiLevelType w:val="multilevel"/>
    <w:tmpl w:val="C3A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5"/>
  </w:num>
  <w:num w:numId="7">
    <w:abstractNumId w:val="5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10"/>
  </w:num>
  <w:num w:numId="15">
    <w:abstractNumId w:val="1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4"/>
    <w:rsid w:val="00076521"/>
    <w:rsid w:val="000F6F83"/>
    <w:rsid w:val="00112E75"/>
    <w:rsid w:val="001426C1"/>
    <w:rsid w:val="00227841"/>
    <w:rsid w:val="0028354D"/>
    <w:rsid w:val="002A4548"/>
    <w:rsid w:val="002F332D"/>
    <w:rsid w:val="00321D11"/>
    <w:rsid w:val="0036363A"/>
    <w:rsid w:val="003648AC"/>
    <w:rsid w:val="00373CDA"/>
    <w:rsid w:val="003A511A"/>
    <w:rsid w:val="003B303B"/>
    <w:rsid w:val="003C2788"/>
    <w:rsid w:val="003D3993"/>
    <w:rsid w:val="00446B8A"/>
    <w:rsid w:val="004801CA"/>
    <w:rsid w:val="004B7E73"/>
    <w:rsid w:val="00534F87"/>
    <w:rsid w:val="005A4400"/>
    <w:rsid w:val="00624AD1"/>
    <w:rsid w:val="00653024"/>
    <w:rsid w:val="00737523"/>
    <w:rsid w:val="007902EC"/>
    <w:rsid w:val="007C5D99"/>
    <w:rsid w:val="007D14D9"/>
    <w:rsid w:val="007F1DDF"/>
    <w:rsid w:val="00820674"/>
    <w:rsid w:val="00823530"/>
    <w:rsid w:val="008452D5"/>
    <w:rsid w:val="008C70AD"/>
    <w:rsid w:val="008E5C5A"/>
    <w:rsid w:val="00AA7416"/>
    <w:rsid w:val="00AB2563"/>
    <w:rsid w:val="00AE7369"/>
    <w:rsid w:val="00B04FBC"/>
    <w:rsid w:val="00B305CF"/>
    <w:rsid w:val="00B85536"/>
    <w:rsid w:val="00C570BC"/>
    <w:rsid w:val="00CC29A1"/>
    <w:rsid w:val="00D62FD4"/>
    <w:rsid w:val="00DA4E88"/>
    <w:rsid w:val="00DB79F4"/>
    <w:rsid w:val="00DB7D3A"/>
    <w:rsid w:val="00E27083"/>
    <w:rsid w:val="00E72CA0"/>
    <w:rsid w:val="00EB3402"/>
    <w:rsid w:val="00F119D3"/>
    <w:rsid w:val="00F569D5"/>
    <w:rsid w:val="00F57894"/>
    <w:rsid w:val="00F66BAB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2EC"/>
    <w:rPr>
      <w:b/>
      <w:bCs/>
    </w:rPr>
  </w:style>
  <w:style w:type="table" w:styleId="a8">
    <w:name w:val="Table Grid"/>
    <w:basedOn w:val="a1"/>
    <w:uiPriority w:val="59"/>
    <w:rsid w:val="0079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0AD"/>
  </w:style>
  <w:style w:type="paragraph" w:styleId="ab">
    <w:name w:val="footer"/>
    <w:basedOn w:val="a"/>
    <w:link w:val="ac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0AD"/>
  </w:style>
  <w:style w:type="character" w:styleId="ad">
    <w:name w:val="FollowedHyperlink"/>
    <w:basedOn w:val="a0"/>
    <w:uiPriority w:val="99"/>
    <w:semiHidden/>
    <w:unhideWhenUsed/>
    <w:rsid w:val="00653024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4801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2EC"/>
    <w:rPr>
      <w:b/>
      <w:bCs/>
    </w:rPr>
  </w:style>
  <w:style w:type="table" w:styleId="a8">
    <w:name w:val="Table Grid"/>
    <w:basedOn w:val="a1"/>
    <w:uiPriority w:val="59"/>
    <w:rsid w:val="0079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0AD"/>
  </w:style>
  <w:style w:type="paragraph" w:styleId="ab">
    <w:name w:val="footer"/>
    <w:basedOn w:val="a"/>
    <w:link w:val="ac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0AD"/>
  </w:style>
  <w:style w:type="character" w:styleId="ad">
    <w:name w:val="FollowedHyperlink"/>
    <w:basedOn w:val="a0"/>
    <w:uiPriority w:val="99"/>
    <w:semiHidden/>
    <w:unhideWhenUsed/>
    <w:rsid w:val="00653024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480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13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6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zolyatsia.org/ua/project/subgrants-for-culture-projects-second-wave/subgrants-second-wave-inf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useofeurope.org.ua/opportunity/438?fbclid=IwAR1iOtEhtUJbtmf9I_z9ARmZCL1i0dcgVCj4OrIyD4kT9VbMDePvwtzKTY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.izolyatsia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zdmbh0Cnh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.izolyatsia.org/contest/4946842b-751f-45da-90c2-0e15482cd63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88A-6D6B-4797-AB4B-27A33972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38</cp:revision>
  <dcterms:created xsi:type="dcterms:W3CDTF">2022-10-24T08:06:00Z</dcterms:created>
  <dcterms:modified xsi:type="dcterms:W3CDTF">2022-12-05T08:28:00Z</dcterms:modified>
</cp:coreProperties>
</file>